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917" w:rsidRDefault="00925917" w:rsidP="00925917">
      <w:pPr>
        <w:keepNext/>
        <w:keepLines/>
        <w:jc w:val="center"/>
        <w:outlineLvl w:val="0"/>
        <w:rPr>
          <w:rFonts w:eastAsiaTheme="majorEastAsia" w:cstheme="majorBidi"/>
          <w:b/>
          <w:color w:val="000000" w:themeColor="text1"/>
          <w:sz w:val="22"/>
          <w:szCs w:val="22"/>
        </w:rPr>
      </w:pPr>
      <w:r>
        <w:rPr>
          <w:noProof/>
          <w:color w:val="00B050"/>
          <w:sz w:val="40"/>
          <w:lang w:val="es-MX" w:eastAsia="es-MX"/>
        </w:rPr>
        <w:drawing>
          <wp:anchor distT="0" distB="0" distL="114300" distR="114300" simplePos="0" relativeHeight="251659264" behindDoc="1" locked="0" layoutInCell="1" allowOverlap="1" wp14:anchorId="78672E7E" wp14:editId="296F8D90">
            <wp:simplePos x="0" y="0"/>
            <wp:positionH relativeFrom="margin">
              <wp:align>center</wp:align>
            </wp:positionH>
            <wp:positionV relativeFrom="paragraph">
              <wp:posOffset>-897890</wp:posOffset>
            </wp:positionV>
            <wp:extent cx="6351270" cy="8219440"/>
            <wp:effectExtent l="0" t="0" r="0" b="0"/>
            <wp:wrapNone/>
            <wp:docPr id="464" name="Imagen 46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n 464" descr="Diagram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6351270" cy="8219440"/>
                    </a:xfrm>
                    <a:prstGeom prst="rect">
                      <a:avLst/>
                    </a:prstGeom>
                  </pic:spPr>
                </pic:pic>
              </a:graphicData>
            </a:graphic>
          </wp:anchor>
        </w:drawing>
      </w: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bookmarkStart w:id="0" w:name="_GoBack"/>
      <w:bookmarkEnd w:id="0"/>
    </w:p>
    <w:p w:rsidR="00925917" w:rsidRDefault="00925917" w:rsidP="00925917">
      <w:pPr>
        <w:keepNext/>
        <w:keepLines/>
        <w:numPr>
          <w:ilvl w:val="1"/>
          <w:numId w:val="3"/>
        </w:numPr>
        <w:jc w:val="center"/>
        <w:outlineLvl w:val="0"/>
        <w:rPr>
          <w:rFonts w:eastAsiaTheme="majorEastAsia" w:cstheme="majorBidi"/>
          <w:b/>
          <w:color w:val="000000" w:themeColor="text1"/>
          <w:sz w:val="22"/>
          <w:szCs w:val="22"/>
        </w:rPr>
      </w:pPr>
    </w:p>
    <w:p w:rsidR="00925917" w:rsidRPr="008A029D" w:rsidRDefault="00925917" w:rsidP="00925917">
      <w:pPr>
        <w:keepNext/>
        <w:keepLines/>
        <w:numPr>
          <w:ilvl w:val="1"/>
          <w:numId w:val="3"/>
        </w:numPr>
        <w:jc w:val="center"/>
        <w:outlineLvl w:val="0"/>
        <w:rPr>
          <w:rFonts w:eastAsiaTheme="majorEastAsia" w:cstheme="majorBidi"/>
          <w:b/>
          <w:color w:val="000000" w:themeColor="text1"/>
          <w:sz w:val="22"/>
          <w:szCs w:val="22"/>
        </w:rPr>
      </w:pPr>
      <w:r w:rsidRPr="008A029D">
        <w:rPr>
          <w:rFonts w:eastAsiaTheme="majorEastAsia" w:cstheme="majorBidi"/>
          <w:b/>
          <w:color w:val="000000" w:themeColor="text1"/>
          <w:sz w:val="22"/>
          <w:szCs w:val="22"/>
        </w:rPr>
        <w:t>I.10 POLÍTICA DE DEUDA PÚBLICA.</w:t>
      </w:r>
    </w:p>
    <w:p w:rsidR="00925917" w:rsidRDefault="00925917" w:rsidP="00925917">
      <w:pPr>
        <w:spacing w:before="0" w:after="0"/>
        <w:ind w:left="426"/>
        <w:rPr>
          <w:rFonts w:eastAsia="Calibri"/>
          <w:color w:val="000000"/>
          <w:sz w:val="22"/>
          <w:szCs w:val="22"/>
        </w:rPr>
      </w:pPr>
      <w:r w:rsidRPr="00D21644">
        <w:rPr>
          <w:rFonts w:eastAsia="Calibri"/>
          <w:color w:val="000000"/>
          <w:sz w:val="22"/>
          <w:szCs w:val="22"/>
        </w:rPr>
        <w:t>Por lo que corresponde al desarrollo de la Deuda Pública en el ejercicio fiscal 2023, se informa que, atendiendo a nuestra obligación, se vigiló y dio cumplimiento a todos y cada uno de los compromisos crediticios contraídos por la entidad federativa y los municipios acreditantes.</w:t>
      </w:r>
    </w:p>
    <w:p w:rsidR="00925917" w:rsidRPr="008A029D" w:rsidRDefault="00925917" w:rsidP="00925917">
      <w:pPr>
        <w:spacing w:before="0" w:after="0"/>
        <w:ind w:left="426"/>
        <w:rPr>
          <w:rFonts w:eastAsia="Calibri"/>
          <w:color w:val="000000"/>
          <w:sz w:val="22"/>
          <w:szCs w:val="22"/>
        </w:rPr>
      </w:pPr>
    </w:p>
    <w:p w:rsidR="00925917" w:rsidRPr="00D21644" w:rsidRDefault="00925917" w:rsidP="00925917">
      <w:pPr>
        <w:spacing w:before="0" w:after="0"/>
        <w:ind w:firstLine="426"/>
        <w:rPr>
          <w:rFonts w:eastAsia="Calibri"/>
          <w:b/>
          <w:color w:val="000000"/>
          <w:sz w:val="22"/>
          <w:szCs w:val="22"/>
        </w:rPr>
      </w:pPr>
      <w:r w:rsidRPr="00D21644">
        <w:rPr>
          <w:rFonts w:eastAsia="Calibri"/>
          <w:b/>
          <w:color w:val="000000"/>
          <w:sz w:val="22"/>
          <w:szCs w:val="22"/>
        </w:rPr>
        <w:t>Deuda Pública Estatal.</w:t>
      </w:r>
    </w:p>
    <w:p w:rsidR="00925917" w:rsidRDefault="00925917" w:rsidP="00925917">
      <w:pPr>
        <w:spacing w:before="0" w:after="0"/>
        <w:ind w:left="426"/>
        <w:rPr>
          <w:rFonts w:eastAsia="Calibri"/>
          <w:color w:val="000000"/>
          <w:sz w:val="22"/>
          <w:szCs w:val="22"/>
        </w:rPr>
      </w:pPr>
      <w:r w:rsidRPr="00D21644">
        <w:rPr>
          <w:rFonts w:eastAsia="Calibri"/>
          <w:color w:val="000000"/>
          <w:sz w:val="22"/>
          <w:szCs w:val="22"/>
        </w:rPr>
        <w:t>El total de la Deuda Pública Estatal, considerando tanto la Directa del Estado, así como la de los Municipios, ascendió 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diciembre</w:t>
      </w:r>
      <w:r w:rsidRPr="00D21644">
        <w:rPr>
          <w:rFonts w:eastAsia="Calibri"/>
          <w:color w:val="000000"/>
          <w:sz w:val="22"/>
          <w:szCs w:val="22"/>
        </w:rPr>
        <w:t xml:space="preserve"> de 2023 a la cantidad de 2</w:t>
      </w:r>
      <w:r>
        <w:rPr>
          <w:rFonts w:eastAsia="Calibri"/>
          <w:color w:val="000000"/>
          <w:sz w:val="22"/>
          <w:szCs w:val="22"/>
        </w:rPr>
        <w:t>0</w:t>
      </w:r>
      <w:r w:rsidRPr="00D21644">
        <w:rPr>
          <w:rFonts w:eastAsia="Calibri"/>
          <w:color w:val="000000"/>
          <w:sz w:val="22"/>
          <w:szCs w:val="22"/>
        </w:rPr>
        <w:t xml:space="preserve"> mil </w:t>
      </w:r>
      <w:r>
        <w:rPr>
          <w:rFonts w:eastAsia="Calibri"/>
          <w:color w:val="000000"/>
          <w:sz w:val="22"/>
          <w:szCs w:val="22"/>
        </w:rPr>
        <w:t>030</w:t>
      </w:r>
      <w:r w:rsidRPr="00D21644">
        <w:rPr>
          <w:rFonts w:eastAsia="Calibri"/>
          <w:color w:val="000000"/>
          <w:sz w:val="22"/>
          <w:szCs w:val="22"/>
        </w:rPr>
        <w:t xml:space="preserve"> millones </w:t>
      </w:r>
      <w:r>
        <w:rPr>
          <w:rFonts w:eastAsia="Calibri"/>
          <w:color w:val="000000"/>
          <w:sz w:val="22"/>
          <w:szCs w:val="22"/>
        </w:rPr>
        <w:t>658</w:t>
      </w:r>
      <w:r w:rsidRPr="00D21644">
        <w:rPr>
          <w:rFonts w:eastAsia="Calibri"/>
          <w:color w:val="000000"/>
          <w:sz w:val="22"/>
          <w:szCs w:val="22"/>
        </w:rPr>
        <w:t xml:space="preserve"> mil </w:t>
      </w:r>
      <w:r>
        <w:rPr>
          <w:rFonts w:eastAsia="Calibri"/>
          <w:color w:val="000000"/>
          <w:sz w:val="22"/>
          <w:szCs w:val="22"/>
        </w:rPr>
        <w:t>561</w:t>
      </w:r>
      <w:r w:rsidRPr="00D21644">
        <w:rPr>
          <w:rFonts w:eastAsia="Calibri"/>
          <w:color w:val="000000"/>
          <w:sz w:val="22"/>
          <w:szCs w:val="22"/>
        </w:rPr>
        <w:t xml:space="preserve"> pesos, lo que representa un decremento del 2.</w:t>
      </w:r>
      <w:r>
        <w:rPr>
          <w:rFonts w:eastAsia="Calibri"/>
          <w:color w:val="000000"/>
          <w:sz w:val="22"/>
          <w:szCs w:val="22"/>
        </w:rPr>
        <w:t>30</w:t>
      </w:r>
      <w:r w:rsidRPr="00D21644">
        <w:rPr>
          <w:rFonts w:eastAsia="Calibri"/>
          <w:sz w:val="22"/>
          <w:szCs w:val="22"/>
        </w:rPr>
        <w:t xml:space="preserve">%, equivalente </w:t>
      </w:r>
      <w:r w:rsidRPr="00D21644">
        <w:rPr>
          <w:rFonts w:eastAsia="Calibri"/>
          <w:color w:val="000000"/>
          <w:sz w:val="22"/>
          <w:szCs w:val="22"/>
        </w:rPr>
        <w:t xml:space="preserve">a </w:t>
      </w:r>
      <w:r>
        <w:rPr>
          <w:rFonts w:eastAsia="Calibri"/>
          <w:color w:val="000000"/>
          <w:sz w:val="22"/>
          <w:szCs w:val="22"/>
        </w:rPr>
        <w:t>471</w:t>
      </w:r>
      <w:r w:rsidRPr="00D21644">
        <w:rPr>
          <w:rFonts w:eastAsia="Calibri"/>
          <w:color w:val="000000"/>
          <w:sz w:val="22"/>
          <w:szCs w:val="22"/>
        </w:rPr>
        <w:t xml:space="preserve"> millones </w:t>
      </w:r>
      <w:r>
        <w:rPr>
          <w:rFonts w:eastAsia="Calibri"/>
          <w:color w:val="000000"/>
          <w:sz w:val="22"/>
          <w:szCs w:val="22"/>
        </w:rPr>
        <w:t>035</w:t>
      </w:r>
      <w:r w:rsidRPr="00D21644">
        <w:rPr>
          <w:rFonts w:eastAsia="Calibri"/>
          <w:color w:val="000000"/>
          <w:sz w:val="22"/>
          <w:szCs w:val="22"/>
        </w:rPr>
        <w:t xml:space="preserve"> mil </w:t>
      </w:r>
      <w:r>
        <w:rPr>
          <w:rFonts w:eastAsia="Calibri"/>
          <w:color w:val="000000"/>
          <w:sz w:val="22"/>
          <w:szCs w:val="22"/>
        </w:rPr>
        <w:t>910</w:t>
      </w:r>
      <w:r w:rsidRPr="00D21644">
        <w:rPr>
          <w:rFonts w:eastAsia="Calibri"/>
          <w:color w:val="000000"/>
          <w:sz w:val="22"/>
          <w:szCs w:val="22"/>
        </w:rPr>
        <w:t xml:space="preserve"> pesos, respecto al </w:t>
      </w:r>
      <w:r>
        <w:rPr>
          <w:rFonts w:eastAsia="Calibri"/>
          <w:color w:val="000000"/>
          <w:sz w:val="22"/>
          <w:szCs w:val="22"/>
        </w:rPr>
        <w:t xml:space="preserve">cierre del </w:t>
      </w:r>
      <w:r w:rsidRPr="00D21644">
        <w:rPr>
          <w:rFonts w:eastAsia="Calibri"/>
          <w:color w:val="000000"/>
          <w:sz w:val="22"/>
          <w:szCs w:val="22"/>
        </w:rPr>
        <w:t xml:space="preserve"> ejercicio fiscal 202</w:t>
      </w:r>
      <w:r>
        <w:rPr>
          <w:rFonts w:eastAsia="Calibri"/>
          <w:color w:val="000000"/>
          <w:sz w:val="22"/>
          <w:szCs w:val="22"/>
        </w:rPr>
        <w:t>2.</w:t>
      </w:r>
    </w:p>
    <w:p w:rsidR="00925917" w:rsidRDefault="00925917" w:rsidP="00925917">
      <w:pPr>
        <w:spacing w:before="0" w:after="0"/>
        <w:ind w:left="426"/>
        <w:jc w:val="center"/>
        <w:rPr>
          <w:rFonts w:eastAsia="Calibri"/>
          <w:color w:val="000000"/>
          <w:sz w:val="22"/>
          <w:szCs w:val="22"/>
        </w:rPr>
      </w:pPr>
      <w:r w:rsidRPr="00A53D78">
        <w:rPr>
          <w:noProof/>
          <w:lang w:val="es-MX" w:eastAsia="es-MX"/>
        </w:rPr>
        <w:lastRenderedPageBreak/>
        <w:drawing>
          <wp:inline distT="0" distB="0" distL="0" distR="0" wp14:anchorId="542BD054" wp14:editId="2FE4103E">
            <wp:extent cx="5874385" cy="4991100"/>
            <wp:effectExtent l="0" t="0" r="0" b="0"/>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5184" cy="4991779"/>
                    </a:xfrm>
                    <a:prstGeom prst="rect">
                      <a:avLst/>
                    </a:prstGeom>
                    <a:noFill/>
                    <a:ln>
                      <a:noFill/>
                    </a:ln>
                  </pic:spPr>
                </pic:pic>
              </a:graphicData>
            </a:graphic>
          </wp:inline>
        </w:drawing>
      </w:r>
    </w:p>
    <w:p w:rsidR="00925917"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r w:rsidRPr="00D21644">
        <w:rPr>
          <w:rFonts w:eastAsia="Calibri"/>
          <w:color w:val="000000"/>
          <w:sz w:val="22"/>
          <w:szCs w:val="22"/>
        </w:rPr>
        <w:t>Como se señaló, la Deuda Pública Estatal, se integra por la Deuda Directa del Gobierno del Estado y la Deuda Pública Municipal Directa, siendo esta última responsabilidad exclusiva de los Municipios</w:t>
      </w:r>
      <w:r>
        <w:rPr>
          <w:rFonts w:eastAsia="Calibri"/>
          <w:color w:val="000000"/>
          <w:sz w:val="22"/>
          <w:szCs w:val="22"/>
        </w:rPr>
        <w:t>,</w:t>
      </w:r>
      <w:r w:rsidRPr="00D21644">
        <w:rPr>
          <w:rFonts w:eastAsia="Calibri"/>
          <w:color w:val="000000"/>
          <w:sz w:val="22"/>
          <w:szCs w:val="22"/>
        </w:rPr>
        <w:t xml:space="preserve"> y cuyo comportamiento se presenta a continuación:</w:t>
      </w:r>
    </w:p>
    <w:p w:rsidR="00925917"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r>
        <w:rPr>
          <w:rFonts w:eastAsia="Calibri"/>
          <w:noProof/>
          <w:color w:val="000000"/>
          <w:sz w:val="22"/>
          <w:szCs w:val="22"/>
          <w:lang w:val="es-MX" w:eastAsia="es-MX"/>
        </w:rPr>
        <w:lastRenderedPageBreak/>
        <w:drawing>
          <wp:inline distT="0" distB="0" distL="0" distR="0" wp14:anchorId="5B4FD950" wp14:editId="2150B425">
            <wp:extent cx="6024891" cy="3952875"/>
            <wp:effectExtent l="0" t="0" r="0" b="0"/>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6723" cy="3960638"/>
                    </a:xfrm>
                    <a:prstGeom prst="rect">
                      <a:avLst/>
                    </a:prstGeom>
                    <a:noFill/>
                  </pic:spPr>
                </pic:pic>
              </a:graphicData>
            </a:graphic>
          </wp:inline>
        </w:drawing>
      </w:r>
    </w:p>
    <w:p w:rsidR="00925917"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r w:rsidRPr="00D21644">
        <w:rPr>
          <w:rFonts w:eastAsia="Calibri"/>
          <w:color w:val="000000"/>
          <w:sz w:val="22"/>
          <w:szCs w:val="22"/>
        </w:rPr>
        <w:t>Por lo que se refiere a la Deuda Pública Directa a Corto Plazo del Gobierno del Estado,</w:t>
      </w:r>
      <w:r w:rsidRPr="00D21644">
        <w:rPr>
          <w:rFonts w:eastAsia="Calibri"/>
          <w:color w:val="0070C0"/>
          <w:sz w:val="22"/>
          <w:szCs w:val="22"/>
        </w:rPr>
        <w:t xml:space="preserve"> </w:t>
      </w:r>
      <w:r w:rsidRPr="00D21644">
        <w:rPr>
          <w:rFonts w:eastAsia="Calibri"/>
          <w:color w:val="000000"/>
          <w:sz w:val="22"/>
          <w:szCs w:val="22"/>
        </w:rPr>
        <w:t>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diciembre del 2023, ésta ascendió a 360</w:t>
      </w:r>
      <w:r w:rsidRPr="00D21644">
        <w:rPr>
          <w:rFonts w:eastAsia="Calibri"/>
          <w:color w:val="000000"/>
          <w:sz w:val="22"/>
          <w:szCs w:val="22"/>
        </w:rPr>
        <w:t xml:space="preserve"> millones </w:t>
      </w:r>
      <w:r>
        <w:rPr>
          <w:rFonts w:eastAsia="Calibri"/>
          <w:color w:val="000000"/>
          <w:sz w:val="22"/>
          <w:szCs w:val="22"/>
        </w:rPr>
        <w:t>815</w:t>
      </w:r>
      <w:r w:rsidRPr="00D21644">
        <w:rPr>
          <w:rFonts w:eastAsia="Calibri"/>
          <w:color w:val="000000"/>
          <w:sz w:val="22"/>
          <w:szCs w:val="22"/>
        </w:rPr>
        <w:t xml:space="preserve"> mil </w:t>
      </w:r>
      <w:r>
        <w:rPr>
          <w:rFonts w:eastAsia="Calibri"/>
          <w:color w:val="000000"/>
          <w:sz w:val="22"/>
          <w:szCs w:val="22"/>
        </w:rPr>
        <w:t>694</w:t>
      </w:r>
      <w:r w:rsidRPr="00D21644">
        <w:rPr>
          <w:rFonts w:eastAsia="Calibri"/>
          <w:color w:val="000000"/>
          <w:sz w:val="22"/>
          <w:szCs w:val="22"/>
        </w:rPr>
        <w:t xml:space="preserve"> pesos, correspondiente al saldo de los créditos de corto plazo quirografarios contratados al amparo de lo dispuesto en el Artículo 30 de la Ley de Disciplina de las Entidades Federativas y los Municipios, así como la Porción a Corto Plazo de la Deuda Pública a Largo Plazo. En cuanto a la Deuda Pública de Largo Plazo, su saldo, a la misma fecha, alcanzó la cantidad de 19 mil </w:t>
      </w:r>
      <w:r>
        <w:rPr>
          <w:rFonts w:eastAsia="Calibri"/>
          <w:color w:val="000000"/>
          <w:sz w:val="22"/>
          <w:szCs w:val="22"/>
        </w:rPr>
        <w:t>341</w:t>
      </w:r>
      <w:r w:rsidRPr="00D21644">
        <w:rPr>
          <w:rFonts w:eastAsia="Calibri"/>
          <w:color w:val="000000"/>
          <w:sz w:val="22"/>
          <w:szCs w:val="22"/>
        </w:rPr>
        <w:t xml:space="preserve"> millones </w:t>
      </w:r>
      <w:r>
        <w:rPr>
          <w:rFonts w:eastAsia="Calibri"/>
          <w:color w:val="000000"/>
          <w:sz w:val="22"/>
          <w:szCs w:val="22"/>
        </w:rPr>
        <w:t>156</w:t>
      </w:r>
      <w:r w:rsidRPr="00D21644">
        <w:rPr>
          <w:rFonts w:eastAsia="Calibri"/>
          <w:color w:val="000000"/>
          <w:sz w:val="22"/>
          <w:szCs w:val="22"/>
        </w:rPr>
        <w:t xml:space="preserve"> mil </w:t>
      </w:r>
      <w:r>
        <w:rPr>
          <w:rFonts w:eastAsia="Calibri"/>
          <w:color w:val="000000"/>
          <w:sz w:val="22"/>
          <w:szCs w:val="22"/>
        </w:rPr>
        <w:t>021</w:t>
      </w:r>
      <w:r w:rsidRPr="00D21644">
        <w:rPr>
          <w:rFonts w:eastAsia="Calibri"/>
          <w:color w:val="000000"/>
          <w:sz w:val="22"/>
          <w:szCs w:val="22"/>
        </w:rPr>
        <w:t xml:space="preserve"> pesos.</w:t>
      </w:r>
    </w:p>
    <w:p w:rsidR="00925917"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p>
    <w:p w:rsidR="00925917" w:rsidRDefault="00925917" w:rsidP="00925917">
      <w:pPr>
        <w:spacing w:before="0" w:after="0"/>
        <w:ind w:left="426"/>
        <w:jc w:val="center"/>
        <w:rPr>
          <w:rFonts w:eastAsia="Calibri"/>
          <w:color w:val="000000"/>
          <w:sz w:val="22"/>
          <w:szCs w:val="22"/>
        </w:rPr>
      </w:pPr>
      <w:r w:rsidRPr="00D14368">
        <w:rPr>
          <w:noProof/>
          <w:lang w:val="es-MX" w:eastAsia="es-MX"/>
        </w:rPr>
        <w:lastRenderedPageBreak/>
        <w:drawing>
          <wp:inline distT="0" distB="0" distL="0" distR="0" wp14:anchorId="301BC05E" wp14:editId="33AF9038">
            <wp:extent cx="6153150" cy="2257425"/>
            <wp:effectExtent l="0" t="0" r="0" b="9525"/>
            <wp:docPr id="273" name="Imagen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341" cy="2257495"/>
                    </a:xfrm>
                    <a:prstGeom prst="rect">
                      <a:avLst/>
                    </a:prstGeom>
                    <a:noFill/>
                    <a:ln>
                      <a:noFill/>
                    </a:ln>
                  </pic:spPr>
                </pic:pic>
              </a:graphicData>
            </a:graphic>
          </wp:inline>
        </w:drawing>
      </w:r>
    </w:p>
    <w:p w:rsidR="00925917" w:rsidRDefault="00925917" w:rsidP="00925917">
      <w:pPr>
        <w:spacing w:before="0" w:after="0"/>
        <w:rPr>
          <w:rFonts w:eastAsia="Calibri"/>
          <w:color w:val="000000"/>
          <w:sz w:val="22"/>
          <w:szCs w:val="22"/>
        </w:rPr>
      </w:pPr>
    </w:p>
    <w:p w:rsidR="00925917" w:rsidRDefault="00925917" w:rsidP="00925917">
      <w:pPr>
        <w:spacing w:before="0" w:after="0"/>
        <w:ind w:left="426"/>
        <w:jc w:val="center"/>
        <w:rPr>
          <w:rFonts w:eastAsia="Calibri"/>
          <w:color w:val="000000"/>
          <w:sz w:val="22"/>
          <w:szCs w:val="22"/>
        </w:rPr>
      </w:pPr>
      <w:r w:rsidRPr="00D14368">
        <w:rPr>
          <w:noProof/>
          <w:lang w:val="es-MX" w:eastAsia="es-MX"/>
        </w:rPr>
        <w:drawing>
          <wp:inline distT="0" distB="0" distL="0" distR="0" wp14:anchorId="713C856A" wp14:editId="39D721E1">
            <wp:extent cx="6219825" cy="1724025"/>
            <wp:effectExtent l="0" t="0" r="9525" b="9525"/>
            <wp:docPr id="27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1020" cy="1724356"/>
                    </a:xfrm>
                    <a:prstGeom prst="rect">
                      <a:avLst/>
                    </a:prstGeom>
                    <a:noFill/>
                    <a:ln>
                      <a:noFill/>
                    </a:ln>
                  </pic:spPr>
                </pic:pic>
              </a:graphicData>
            </a:graphic>
          </wp:inline>
        </w:drawing>
      </w:r>
    </w:p>
    <w:p w:rsidR="00925917" w:rsidRDefault="00925917" w:rsidP="00925917">
      <w:pPr>
        <w:spacing w:before="0" w:after="0"/>
        <w:ind w:firstLine="425"/>
        <w:rPr>
          <w:rFonts w:eastAsia="Calibri"/>
          <w:b/>
          <w:color w:val="000000"/>
          <w:sz w:val="22"/>
          <w:szCs w:val="22"/>
        </w:rPr>
      </w:pPr>
    </w:p>
    <w:p w:rsidR="00925917" w:rsidRDefault="00925917" w:rsidP="00925917">
      <w:pPr>
        <w:spacing w:before="0" w:after="0"/>
        <w:ind w:firstLine="426"/>
        <w:rPr>
          <w:rFonts w:eastAsia="Calibri"/>
          <w:b/>
          <w:color w:val="000000"/>
          <w:sz w:val="22"/>
          <w:szCs w:val="22"/>
        </w:rPr>
      </w:pPr>
      <w:r w:rsidRPr="00D21644">
        <w:rPr>
          <w:rFonts w:eastAsia="Calibri"/>
          <w:b/>
          <w:color w:val="000000"/>
          <w:sz w:val="22"/>
          <w:szCs w:val="22"/>
        </w:rPr>
        <w:t>Deuda Pública Municipal Directa.</w:t>
      </w:r>
    </w:p>
    <w:p w:rsidR="00925917" w:rsidRPr="00D21644" w:rsidRDefault="00925917" w:rsidP="00925917">
      <w:pPr>
        <w:spacing w:before="0" w:after="0"/>
        <w:ind w:firstLine="426"/>
        <w:rPr>
          <w:rFonts w:eastAsia="Calibri"/>
          <w:b/>
          <w:color w:val="000000"/>
          <w:sz w:val="22"/>
          <w:szCs w:val="22"/>
        </w:rPr>
      </w:pPr>
    </w:p>
    <w:p w:rsidR="00925917" w:rsidRDefault="00925917" w:rsidP="00925917">
      <w:pPr>
        <w:spacing w:before="0" w:after="0"/>
        <w:ind w:left="426"/>
        <w:rPr>
          <w:rFonts w:eastAsia="Calibri"/>
          <w:color w:val="000000"/>
          <w:sz w:val="22"/>
          <w:szCs w:val="22"/>
        </w:rPr>
      </w:pPr>
      <w:r w:rsidRPr="00D21644">
        <w:rPr>
          <w:rFonts w:eastAsia="Calibri"/>
          <w:color w:val="000000"/>
          <w:sz w:val="22"/>
          <w:szCs w:val="22"/>
        </w:rPr>
        <w:t>El saldo de la Deuda Pública Municipal Directa, 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diciembre de</w:t>
      </w:r>
      <w:r w:rsidRPr="00D21644">
        <w:rPr>
          <w:rFonts w:eastAsia="Calibri"/>
          <w:color w:val="FF0000"/>
          <w:sz w:val="22"/>
          <w:szCs w:val="22"/>
        </w:rPr>
        <w:t xml:space="preserve"> </w:t>
      </w:r>
      <w:r w:rsidRPr="00D21644">
        <w:rPr>
          <w:rFonts w:eastAsia="Calibri"/>
          <w:color w:val="000000"/>
          <w:sz w:val="22"/>
          <w:szCs w:val="22"/>
        </w:rPr>
        <w:t xml:space="preserve">2023, a Corto Plazo ascendió a la cantidad de </w:t>
      </w:r>
      <w:r>
        <w:rPr>
          <w:rFonts w:eastAsia="Calibri"/>
          <w:color w:val="000000"/>
          <w:sz w:val="22"/>
          <w:szCs w:val="22"/>
        </w:rPr>
        <w:t>319</w:t>
      </w:r>
      <w:r w:rsidRPr="00D21644">
        <w:rPr>
          <w:rFonts w:eastAsia="Calibri"/>
          <w:color w:val="000000"/>
          <w:sz w:val="22"/>
          <w:szCs w:val="22"/>
        </w:rPr>
        <w:t xml:space="preserve"> millones </w:t>
      </w:r>
      <w:r>
        <w:rPr>
          <w:rFonts w:eastAsia="Calibri"/>
          <w:color w:val="000000"/>
          <w:sz w:val="22"/>
          <w:szCs w:val="22"/>
        </w:rPr>
        <w:t>239</w:t>
      </w:r>
      <w:r w:rsidRPr="00D21644">
        <w:rPr>
          <w:rFonts w:eastAsia="Calibri"/>
          <w:color w:val="000000"/>
          <w:sz w:val="22"/>
          <w:szCs w:val="22"/>
        </w:rPr>
        <w:t xml:space="preserve"> mil </w:t>
      </w:r>
      <w:r>
        <w:rPr>
          <w:rFonts w:eastAsia="Calibri"/>
          <w:color w:val="000000"/>
          <w:sz w:val="22"/>
          <w:szCs w:val="22"/>
        </w:rPr>
        <w:t>098</w:t>
      </w:r>
      <w:r w:rsidRPr="00D21644">
        <w:rPr>
          <w:rFonts w:eastAsia="Calibri"/>
          <w:color w:val="000000"/>
          <w:sz w:val="22"/>
          <w:szCs w:val="22"/>
        </w:rPr>
        <w:t xml:space="preserve"> pesos y a Largo Plazo a </w:t>
      </w:r>
      <w:r>
        <w:rPr>
          <w:rFonts w:eastAsia="Calibri"/>
          <w:color w:val="000000"/>
          <w:sz w:val="22"/>
          <w:szCs w:val="22"/>
        </w:rPr>
        <w:t>9</w:t>
      </w:r>
      <w:r w:rsidRPr="00D21644">
        <w:rPr>
          <w:rFonts w:eastAsia="Calibri"/>
          <w:color w:val="000000"/>
          <w:sz w:val="22"/>
          <w:szCs w:val="22"/>
        </w:rPr>
        <w:t xml:space="preserve"> millones </w:t>
      </w:r>
      <w:r>
        <w:rPr>
          <w:rFonts w:eastAsia="Calibri"/>
          <w:color w:val="000000"/>
          <w:sz w:val="22"/>
          <w:szCs w:val="22"/>
        </w:rPr>
        <w:t>447</w:t>
      </w:r>
      <w:r w:rsidRPr="00D21644">
        <w:rPr>
          <w:rFonts w:eastAsia="Calibri"/>
          <w:color w:val="000000"/>
          <w:sz w:val="22"/>
          <w:szCs w:val="22"/>
        </w:rPr>
        <w:t xml:space="preserve"> mil </w:t>
      </w:r>
      <w:r>
        <w:rPr>
          <w:rFonts w:eastAsia="Calibri"/>
          <w:color w:val="000000"/>
          <w:sz w:val="22"/>
          <w:szCs w:val="22"/>
        </w:rPr>
        <w:t>7</w:t>
      </w:r>
      <w:r w:rsidRPr="00D21644">
        <w:rPr>
          <w:rFonts w:eastAsia="Calibri"/>
          <w:color w:val="000000"/>
          <w:sz w:val="22"/>
          <w:szCs w:val="22"/>
        </w:rPr>
        <w:t>4</w:t>
      </w:r>
      <w:r>
        <w:rPr>
          <w:rFonts w:eastAsia="Calibri"/>
          <w:color w:val="000000"/>
          <w:sz w:val="22"/>
          <w:szCs w:val="22"/>
        </w:rPr>
        <w:t>8</w:t>
      </w:r>
      <w:r w:rsidRPr="00D21644">
        <w:rPr>
          <w:rFonts w:eastAsia="Calibri"/>
          <w:color w:val="000000"/>
          <w:sz w:val="22"/>
          <w:szCs w:val="22"/>
        </w:rPr>
        <w:t xml:space="preserve"> pesos.</w:t>
      </w:r>
    </w:p>
    <w:p w:rsidR="00925917" w:rsidRDefault="00925917" w:rsidP="00925917">
      <w:pPr>
        <w:spacing w:before="0" w:after="0"/>
        <w:ind w:left="426"/>
        <w:rPr>
          <w:sz w:val="22"/>
          <w:szCs w:val="22"/>
        </w:rPr>
      </w:pPr>
      <w:r w:rsidRPr="00D14368">
        <w:rPr>
          <w:noProof/>
          <w:lang w:val="es-MX" w:eastAsia="es-MX"/>
        </w:rPr>
        <w:drawing>
          <wp:inline distT="0" distB="0" distL="0" distR="0" wp14:anchorId="0D3B7DA6" wp14:editId="3E4FF2AA">
            <wp:extent cx="6096000" cy="1933575"/>
            <wp:effectExtent l="0" t="0" r="0" b="9525"/>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4835" cy="1936377"/>
                    </a:xfrm>
                    <a:prstGeom prst="rect">
                      <a:avLst/>
                    </a:prstGeom>
                    <a:noFill/>
                    <a:ln>
                      <a:noFill/>
                    </a:ln>
                  </pic:spPr>
                </pic:pic>
              </a:graphicData>
            </a:graphic>
          </wp:inline>
        </w:drawing>
      </w:r>
    </w:p>
    <w:p w:rsidR="00925917" w:rsidRDefault="00925917" w:rsidP="00925917">
      <w:pPr>
        <w:spacing w:before="0" w:after="0"/>
        <w:ind w:left="426"/>
        <w:jc w:val="center"/>
        <w:rPr>
          <w:sz w:val="22"/>
          <w:szCs w:val="22"/>
        </w:rPr>
      </w:pPr>
      <w:r w:rsidRPr="009A4272">
        <w:rPr>
          <w:noProof/>
          <w:lang w:val="es-MX" w:eastAsia="es-MX"/>
        </w:rPr>
        <w:lastRenderedPageBreak/>
        <w:drawing>
          <wp:inline distT="0" distB="0" distL="0" distR="0" wp14:anchorId="1C1D47CA" wp14:editId="2A57D6AB">
            <wp:extent cx="6111875" cy="8134350"/>
            <wp:effectExtent l="0" t="0" r="317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7448" cy="8141767"/>
                    </a:xfrm>
                    <a:prstGeom prst="rect">
                      <a:avLst/>
                    </a:prstGeom>
                    <a:noFill/>
                    <a:ln>
                      <a:noFill/>
                    </a:ln>
                  </pic:spPr>
                </pic:pic>
              </a:graphicData>
            </a:graphic>
          </wp:inline>
        </w:drawing>
      </w:r>
    </w:p>
    <w:p w:rsidR="00925917" w:rsidRDefault="00925917" w:rsidP="00925917">
      <w:pPr>
        <w:ind w:firstLine="426"/>
        <w:rPr>
          <w:rFonts w:eastAsia="Calibri"/>
          <w:b/>
          <w:color w:val="000000"/>
          <w:sz w:val="22"/>
          <w:szCs w:val="22"/>
        </w:rPr>
      </w:pPr>
      <w:r w:rsidRPr="00D21644">
        <w:rPr>
          <w:rFonts w:eastAsia="Calibri"/>
          <w:b/>
          <w:color w:val="000000"/>
          <w:sz w:val="22"/>
          <w:szCs w:val="22"/>
        </w:rPr>
        <w:lastRenderedPageBreak/>
        <w:t>Aspectos relevantes de la Deuda Pública.</w:t>
      </w:r>
    </w:p>
    <w:p w:rsidR="00925917" w:rsidRPr="00D21644" w:rsidRDefault="00925917" w:rsidP="00925917">
      <w:pPr>
        <w:ind w:firstLine="426"/>
        <w:rPr>
          <w:rFonts w:eastAsia="Calibri"/>
          <w:b/>
          <w:color w:val="000000"/>
          <w:sz w:val="22"/>
          <w:szCs w:val="22"/>
        </w:rPr>
      </w:pPr>
    </w:p>
    <w:p w:rsidR="00925917" w:rsidRPr="00D21644" w:rsidRDefault="00925917" w:rsidP="00925917">
      <w:pPr>
        <w:spacing w:before="0" w:after="0"/>
        <w:ind w:left="426"/>
        <w:rPr>
          <w:rFonts w:eastAsia="Calibri"/>
          <w:color w:val="000000"/>
          <w:sz w:val="22"/>
          <w:szCs w:val="22"/>
        </w:rPr>
      </w:pPr>
      <w:r w:rsidRPr="00D21644">
        <w:rPr>
          <w:rFonts w:eastAsia="Calibri"/>
          <w:color w:val="000000"/>
          <w:sz w:val="22"/>
          <w:szCs w:val="22"/>
        </w:rPr>
        <w:t>Cabe señalar que el Gobierno del Estado ha hecho todos los esfuerzos y acciones tendientes a cubrir las obligaciones a las cuales tiene que dar cabal cumplimiento, mismas que están establecidas en los diversos contratos de crédito que ha celebrado con las Instituciones Financieras, tanto de Banca Comercial como de Desarrollo y que, en su conjunto, integran la Deuda Pública Directa.</w:t>
      </w:r>
    </w:p>
    <w:p w:rsidR="00925917" w:rsidRPr="00D21644" w:rsidRDefault="00925917" w:rsidP="00925917">
      <w:pPr>
        <w:spacing w:before="0" w:after="0"/>
        <w:ind w:left="426"/>
        <w:rPr>
          <w:rFonts w:eastAsia="Calibri"/>
          <w:color w:val="000000"/>
          <w:sz w:val="22"/>
          <w:szCs w:val="22"/>
        </w:rPr>
      </w:pPr>
    </w:p>
    <w:p w:rsidR="00925917" w:rsidRPr="00D21644" w:rsidRDefault="00925917" w:rsidP="00925917">
      <w:pPr>
        <w:spacing w:before="0" w:after="0"/>
        <w:ind w:left="426"/>
        <w:rPr>
          <w:rFonts w:eastAsia="Calibri"/>
          <w:color w:val="000000"/>
          <w:sz w:val="22"/>
          <w:szCs w:val="22"/>
        </w:rPr>
      </w:pPr>
      <w:r w:rsidRPr="00D21644">
        <w:rPr>
          <w:rFonts w:eastAsia="Calibri"/>
          <w:color w:val="000000"/>
          <w:sz w:val="22"/>
          <w:szCs w:val="22"/>
        </w:rPr>
        <w:t>Las fuentes de financiamiento que se utilizaron</w:t>
      </w:r>
      <w:r w:rsidRPr="00D21644">
        <w:rPr>
          <w:rFonts w:eastAsia="Calibri"/>
          <w:sz w:val="22"/>
          <w:szCs w:val="22"/>
        </w:rPr>
        <w:t>,</w:t>
      </w:r>
      <w:r w:rsidRPr="00D21644">
        <w:rPr>
          <w:rFonts w:eastAsia="Calibri"/>
          <w:color w:val="000000"/>
          <w:sz w:val="22"/>
          <w:szCs w:val="22"/>
        </w:rPr>
        <w:t xml:space="preserve"> en el período que se informa, para cubrir las obligaciones derivadas de la Deuda Pública, fueron recursos provenientes de las Participaciones Federales (Fondo General) que le correspondieron al Estado, y del Fondo de Aportaciones para el Fortalecimiento de las Entidades Federativas (FAFEF), conforme a lo dispuesto en la Ley de Coordinación Fiscal</w:t>
      </w:r>
      <w:r>
        <w:rPr>
          <w:rFonts w:eastAsia="Calibri"/>
          <w:color w:val="000000"/>
          <w:sz w:val="22"/>
          <w:szCs w:val="22"/>
        </w:rPr>
        <w:t>,</w:t>
      </w:r>
      <w:r w:rsidRPr="00D21644">
        <w:rPr>
          <w:rFonts w:eastAsia="Calibri"/>
          <w:color w:val="000000"/>
          <w:sz w:val="22"/>
          <w:szCs w:val="22"/>
        </w:rPr>
        <w:t xml:space="preserve"> y demás lineamientos normativos aplicables.</w:t>
      </w:r>
    </w:p>
    <w:p w:rsidR="00925917" w:rsidRPr="00D21644" w:rsidRDefault="00925917" w:rsidP="00925917">
      <w:pPr>
        <w:spacing w:before="0" w:after="0"/>
        <w:ind w:left="426"/>
        <w:rPr>
          <w:rFonts w:eastAsia="Calibri"/>
          <w:color w:val="000000"/>
          <w:sz w:val="22"/>
          <w:szCs w:val="22"/>
        </w:rPr>
      </w:pPr>
    </w:p>
    <w:p w:rsidR="00925917" w:rsidRPr="00D21644" w:rsidRDefault="00925917" w:rsidP="00925917">
      <w:pPr>
        <w:spacing w:before="0" w:after="0"/>
        <w:ind w:left="426"/>
        <w:rPr>
          <w:rFonts w:eastAsia="Calibri"/>
          <w:color w:val="000000"/>
          <w:sz w:val="22"/>
          <w:szCs w:val="22"/>
        </w:rPr>
      </w:pPr>
      <w:r w:rsidRPr="00D21644">
        <w:rPr>
          <w:rFonts w:eastAsia="Calibri"/>
          <w:color w:val="000000"/>
          <w:sz w:val="22"/>
          <w:szCs w:val="22"/>
        </w:rPr>
        <w:t>Dichas obligaciones conllevan a que el Gobierno del Estado tenga un marco de actuación de índole financiera y presu</w:t>
      </w:r>
      <w:r>
        <w:rPr>
          <w:rFonts w:eastAsia="Calibri"/>
          <w:color w:val="000000"/>
          <w:sz w:val="22"/>
          <w:szCs w:val="22"/>
        </w:rPr>
        <w:t xml:space="preserve">puestal restringida. </w:t>
      </w:r>
      <w:r w:rsidRPr="00D21644">
        <w:rPr>
          <w:rFonts w:eastAsia="Calibri"/>
          <w:color w:val="000000"/>
          <w:sz w:val="22"/>
          <w:szCs w:val="22"/>
        </w:rPr>
        <w:t xml:space="preserve">En este sentido, cabe destacar los catorce incrementos que ha realizado, desde el mes de junio del 2021 al cierre del periodo que se informa, el Banco de México (BANXICO) a la tasa objetivo, lo que ha generado a su vez, que la tasa de referencia que se establece en la mayoría de los financiamientos para el cálculo de la tasa de interés ordinarios, que es la Tasa de Interés Interbancaria de </w:t>
      </w:r>
      <w:r w:rsidRPr="00D21644">
        <w:rPr>
          <w:rFonts w:eastAsia="Calibri"/>
          <w:sz w:val="22"/>
          <w:szCs w:val="22"/>
        </w:rPr>
        <w:t>Equilibrio a 28 días (TIIE 28 días) se eleve de manera importante pasando de niveles del 4.00% (cuatro por ciento), a mediados del mes de junio del ejercicio fiscal 2021,  al 11.25% (once punto veinticinco po</w:t>
      </w:r>
      <w:r>
        <w:rPr>
          <w:rFonts w:eastAsia="Calibri"/>
          <w:sz w:val="22"/>
          <w:szCs w:val="22"/>
        </w:rPr>
        <w:t xml:space="preserve">r ciento) con la que cerró </w:t>
      </w:r>
      <w:r w:rsidRPr="008B115C">
        <w:rPr>
          <w:rFonts w:eastAsia="Calibri"/>
          <w:sz w:val="22"/>
          <w:szCs w:val="22"/>
        </w:rPr>
        <w:t xml:space="preserve">al 31 de diciembre de 2023, es decir; un incremento en este período de un 181.25%, (ciento ochenta y uno </w:t>
      </w:r>
      <w:r w:rsidRPr="00D21644">
        <w:rPr>
          <w:rFonts w:eastAsia="Calibri"/>
          <w:sz w:val="22"/>
          <w:szCs w:val="22"/>
        </w:rPr>
        <w:t xml:space="preserve">punto veinticinco por ciento), lo que ha derivado en que el costo de la deuda </w:t>
      </w:r>
      <w:r w:rsidRPr="00D21644">
        <w:rPr>
          <w:rFonts w:eastAsia="Calibri"/>
          <w:sz w:val="22"/>
          <w:szCs w:val="22"/>
        </w:rPr>
        <w:lastRenderedPageBreak/>
        <w:t>pública que ha pagado el Estado, se haya incrementado de manera considerable</w:t>
      </w:r>
      <w:r w:rsidRPr="00D21644">
        <w:rPr>
          <w:rFonts w:eastAsia="Calibri"/>
          <w:color w:val="000000"/>
          <w:sz w:val="22"/>
          <w:szCs w:val="22"/>
        </w:rPr>
        <w:t>.</w:t>
      </w:r>
    </w:p>
    <w:p w:rsidR="00925917" w:rsidRPr="00D21644"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r w:rsidRPr="00D21644">
        <w:rPr>
          <w:rFonts w:eastAsia="Calibri"/>
          <w:color w:val="000000"/>
          <w:sz w:val="22"/>
          <w:szCs w:val="22"/>
        </w:rPr>
        <w:t>Lo anterior, obliga al Gobierno del Estado a otorgar observancia y los ajustes presupuestales necesarios, para no incurrir en un posible incumplimiento de las citadas obligaciones, puesto que derivaría, conforme a lo estipulado en los contratos de los financiamientos, en sanciones y penalizaciones de índole económico, al grado máximo de vencimientos anticipados del saldo insoluto de los créditos.</w:t>
      </w:r>
    </w:p>
    <w:p w:rsidR="00925917" w:rsidRDefault="00925917" w:rsidP="00925917">
      <w:pPr>
        <w:spacing w:before="0" w:after="0"/>
        <w:ind w:left="426"/>
        <w:rPr>
          <w:rFonts w:eastAsia="Calibri"/>
          <w:color w:val="000000"/>
          <w:sz w:val="22"/>
          <w:szCs w:val="22"/>
        </w:rPr>
      </w:pPr>
    </w:p>
    <w:p w:rsidR="00925917" w:rsidRPr="00D21644" w:rsidRDefault="00925917" w:rsidP="00925917">
      <w:pPr>
        <w:spacing w:before="0" w:after="0"/>
        <w:ind w:left="426"/>
        <w:rPr>
          <w:rFonts w:eastAsia="Calibri"/>
          <w:color w:val="000000"/>
          <w:sz w:val="22"/>
          <w:szCs w:val="22"/>
        </w:rPr>
      </w:pPr>
      <w:r w:rsidRPr="00D21644">
        <w:rPr>
          <w:rFonts w:eastAsia="Calibri"/>
          <w:color w:val="000000"/>
          <w:sz w:val="22"/>
          <w:szCs w:val="22"/>
        </w:rPr>
        <w:t xml:space="preserve">Por último, hacer especial énfasis que el Estado logró refrendar el resultado positivo obtenido en las mediciones de los indicadores que </w:t>
      </w:r>
      <w:r w:rsidRPr="00E55333">
        <w:rPr>
          <w:rFonts w:eastAsia="Calibri"/>
          <w:sz w:val="22"/>
          <w:szCs w:val="22"/>
        </w:rPr>
        <w:t xml:space="preserve">conforman el sistema de alertas realizado y publicado por la Secretaría de Hacienda y Crédito Público el pasado 29 de noviembre de 2023, con base a la información financiera del tercer trimestre de 2023, de </w:t>
      </w:r>
      <w:r w:rsidRPr="00D21644">
        <w:rPr>
          <w:rFonts w:eastAsia="Calibri"/>
          <w:color w:val="000000"/>
          <w:sz w:val="22"/>
          <w:szCs w:val="22"/>
        </w:rPr>
        <w:t>conformidad con lo establecido en la Ley de Disciplina Financiera de las Entidades Federativas y de los Municipios, donde el Estado mantuvo un resultado de endeudamiento sostenible (semáforo verde), significando ello que</w:t>
      </w:r>
      <w:r>
        <w:rPr>
          <w:rFonts w:eastAsia="Calibri"/>
          <w:color w:val="000000"/>
          <w:sz w:val="22"/>
          <w:szCs w:val="22"/>
        </w:rPr>
        <w:t>, por una parte; el Estado cuenta con un Techo de Financiamiento Neto, por hasta el 15% de los ingresos de libre disposición autorizados en la Ley de Ingreso del Estadio del presente ejercicio fiscal por parte del Congreso del Estado, y por la otra; que</w:t>
      </w:r>
      <w:r w:rsidRPr="00D21644">
        <w:rPr>
          <w:rFonts w:eastAsia="Calibri"/>
          <w:color w:val="000000"/>
          <w:sz w:val="22"/>
          <w:szCs w:val="22"/>
        </w:rPr>
        <w:t xml:space="preserve"> el Estado es solvente para hacer frente al pago de sus obligaciones derivadas de la deuda pública contraída, y tiene capacidad de endeudamiento para invertir en inversiones públicas productivas.</w:t>
      </w:r>
    </w:p>
    <w:p w:rsidR="00925917" w:rsidRPr="00D21644" w:rsidRDefault="00925917" w:rsidP="00925917">
      <w:pPr>
        <w:spacing w:before="0" w:after="0"/>
        <w:rPr>
          <w:rFonts w:eastAsia="Calibri"/>
          <w:color w:val="000000"/>
          <w:sz w:val="22"/>
          <w:szCs w:val="22"/>
        </w:rPr>
      </w:pPr>
    </w:p>
    <w:p w:rsidR="00925917" w:rsidRPr="000D27A8" w:rsidRDefault="00925917" w:rsidP="00925917">
      <w:pPr>
        <w:widowControl w:val="0"/>
        <w:numPr>
          <w:ilvl w:val="0"/>
          <w:numId w:val="2"/>
        </w:numPr>
        <w:kinsoku w:val="0"/>
        <w:ind w:left="786"/>
        <w:contextualSpacing/>
        <w:jc w:val="left"/>
        <w:rPr>
          <w:rFonts w:eastAsia="Times New Roman" w:cs="Times New Roman"/>
          <w:b/>
          <w:color w:val="000000" w:themeColor="text1"/>
          <w:sz w:val="22"/>
          <w:szCs w:val="22"/>
          <w:lang w:val="en-US" w:eastAsia="es-MX"/>
        </w:rPr>
      </w:pPr>
      <w:bookmarkStart w:id="1" w:name="_MON_1555848056"/>
      <w:bookmarkStart w:id="2" w:name="_MON_1555848084"/>
      <w:bookmarkStart w:id="3" w:name="_MON_1555848094"/>
      <w:bookmarkStart w:id="4" w:name="_MON_1555848120"/>
      <w:bookmarkStart w:id="5" w:name="_MON_1555848159"/>
      <w:bookmarkStart w:id="6" w:name="_MON_1555847769"/>
      <w:bookmarkStart w:id="7" w:name="_MON_1555848179"/>
      <w:bookmarkStart w:id="8" w:name="_MON_1555848261"/>
      <w:bookmarkStart w:id="9" w:name="_MON_1555848298"/>
      <w:bookmarkStart w:id="10" w:name="_MON_1555848350"/>
      <w:bookmarkStart w:id="11" w:name="_MON_1555848469"/>
      <w:bookmarkStart w:id="12" w:name="_MON_1555848478"/>
      <w:bookmarkStart w:id="13" w:name="_MON_1555848428"/>
      <w:bookmarkStart w:id="14" w:name="_MON_1555848611"/>
      <w:bookmarkStart w:id="15" w:name="_MON_1555848688"/>
      <w:bookmarkStart w:id="16" w:name="_MON_15558487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0D27A8">
        <w:rPr>
          <w:rFonts w:eastAsia="Times New Roman" w:cs="Times New Roman"/>
          <w:b/>
          <w:color w:val="000000" w:themeColor="text1"/>
          <w:sz w:val="22"/>
          <w:szCs w:val="22"/>
          <w:lang w:val="en-US" w:eastAsia="es-MX"/>
        </w:rPr>
        <w:t>DEUDA PÚBLICA.</w:t>
      </w:r>
    </w:p>
    <w:p w:rsidR="00925917" w:rsidRPr="00D21644" w:rsidRDefault="00925917" w:rsidP="00925917">
      <w:pPr>
        <w:widowControl w:val="0"/>
        <w:kinsoku w:val="0"/>
        <w:ind w:left="720"/>
        <w:contextualSpacing/>
        <w:jc w:val="left"/>
        <w:rPr>
          <w:rFonts w:eastAsia="Times New Roman" w:cs="Times New Roman"/>
          <w:b/>
          <w:color w:val="000000" w:themeColor="text1"/>
          <w:sz w:val="22"/>
          <w:szCs w:val="22"/>
          <w:lang w:val="en-US" w:eastAsia="es-MX"/>
        </w:rPr>
      </w:pPr>
    </w:p>
    <w:p w:rsidR="00925917" w:rsidRDefault="00925917" w:rsidP="00925917">
      <w:pPr>
        <w:spacing w:before="0" w:after="0"/>
        <w:ind w:left="426"/>
        <w:rPr>
          <w:rFonts w:eastAsia="Calibri"/>
          <w:color w:val="000000"/>
          <w:sz w:val="22"/>
          <w:szCs w:val="22"/>
        </w:rPr>
      </w:pPr>
      <w:bookmarkStart w:id="17" w:name="_Hlk4072794"/>
      <w:r w:rsidRPr="00D21644">
        <w:rPr>
          <w:rFonts w:eastAsia="Calibri"/>
          <w:color w:val="000000"/>
          <w:sz w:val="22"/>
          <w:szCs w:val="22"/>
        </w:rPr>
        <w:t>Representa las obligaciones directas a cargo del Gobierno del Estado de Michoacán de Ocampo, derivadas de la contratación de créditos con instituciones financieras, la integración de la deuda pública 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 xml:space="preserve">diciembre </w:t>
      </w:r>
      <w:r w:rsidRPr="00D21644">
        <w:rPr>
          <w:rFonts w:eastAsia="Calibri"/>
          <w:color w:val="000000"/>
          <w:sz w:val="22"/>
          <w:szCs w:val="22"/>
        </w:rPr>
        <w:t>de 2023 es la siguiente</w:t>
      </w:r>
      <w:bookmarkStart w:id="18" w:name="_Hlk4073014"/>
      <w:bookmarkEnd w:id="17"/>
      <w:r w:rsidRPr="00D21644">
        <w:rPr>
          <w:rFonts w:eastAsia="Calibri"/>
          <w:color w:val="000000"/>
          <w:sz w:val="22"/>
          <w:szCs w:val="22"/>
        </w:rPr>
        <w:t>:</w:t>
      </w:r>
    </w:p>
    <w:p w:rsidR="00925917" w:rsidRDefault="00925917" w:rsidP="00925917">
      <w:pPr>
        <w:spacing w:before="0" w:after="0"/>
        <w:ind w:left="426"/>
        <w:rPr>
          <w:rFonts w:eastAsia="Calibri"/>
          <w:color w:val="000000"/>
          <w:sz w:val="22"/>
          <w:szCs w:val="22"/>
        </w:rPr>
      </w:pPr>
    </w:p>
    <w:p w:rsidR="00925917" w:rsidRPr="00D21644" w:rsidRDefault="00925917" w:rsidP="00925917">
      <w:pPr>
        <w:spacing w:before="0" w:after="0"/>
        <w:ind w:left="426"/>
        <w:rPr>
          <w:rFonts w:eastAsia="Calibri"/>
          <w:color w:val="000000"/>
          <w:sz w:val="22"/>
          <w:szCs w:val="22"/>
          <w:lang w:val="es-MX"/>
        </w:rPr>
      </w:pPr>
      <w:r w:rsidRPr="00BA4228">
        <w:rPr>
          <w:noProof/>
          <w:lang w:val="es-MX" w:eastAsia="es-MX"/>
        </w:rPr>
        <w:drawing>
          <wp:inline distT="0" distB="0" distL="0" distR="0" wp14:anchorId="06D32023" wp14:editId="6C84932A">
            <wp:extent cx="2971800" cy="324802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3248025"/>
                    </a:xfrm>
                    <a:prstGeom prst="rect">
                      <a:avLst/>
                    </a:prstGeom>
                    <a:noFill/>
                    <a:ln>
                      <a:noFill/>
                    </a:ln>
                  </pic:spPr>
                </pic:pic>
              </a:graphicData>
            </a:graphic>
          </wp:inline>
        </w:drawing>
      </w:r>
      <w:r w:rsidRPr="00BA4228">
        <w:rPr>
          <w:rFonts w:eastAsia="Calibri"/>
          <w:color w:val="000000"/>
          <w:sz w:val="22"/>
          <w:szCs w:val="22"/>
          <w:lang w:val="es-MX"/>
        </w:rPr>
        <w:t xml:space="preserve"> </w:t>
      </w:r>
      <w:r w:rsidRPr="00BA4228">
        <w:rPr>
          <w:noProof/>
          <w:lang w:val="es-MX" w:eastAsia="es-MX"/>
        </w:rPr>
        <w:drawing>
          <wp:inline distT="0" distB="0" distL="0" distR="0" wp14:anchorId="350E91CB" wp14:editId="0AFBE301">
            <wp:extent cx="2933700" cy="32575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3257550"/>
                    </a:xfrm>
                    <a:prstGeom prst="rect">
                      <a:avLst/>
                    </a:prstGeom>
                    <a:noFill/>
                    <a:ln>
                      <a:noFill/>
                    </a:ln>
                  </pic:spPr>
                </pic:pic>
              </a:graphicData>
            </a:graphic>
          </wp:inline>
        </w:drawing>
      </w:r>
    </w:p>
    <w:bookmarkEnd w:id="18"/>
    <w:p w:rsidR="00925917" w:rsidRPr="00D21644" w:rsidRDefault="00925917" w:rsidP="00925917">
      <w:pPr>
        <w:spacing w:before="0" w:after="0"/>
        <w:ind w:left="426"/>
        <w:jc w:val="left"/>
        <w:rPr>
          <w:rFonts w:eastAsia="Calibri"/>
          <w:color w:val="000000"/>
          <w:sz w:val="22"/>
          <w:szCs w:val="22"/>
        </w:rPr>
      </w:pPr>
      <w:r>
        <w:t xml:space="preserve">    </w:t>
      </w:r>
    </w:p>
    <w:p w:rsidR="00925917" w:rsidRPr="00D21644" w:rsidRDefault="00925917" w:rsidP="00925917">
      <w:pPr>
        <w:spacing w:before="0" w:after="0"/>
        <w:ind w:left="426"/>
        <w:jc w:val="center"/>
        <w:rPr>
          <w:rFonts w:eastAsia="Calibri"/>
          <w:color w:val="000000"/>
          <w:sz w:val="22"/>
          <w:szCs w:val="22"/>
        </w:rPr>
      </w:pPr>
      <w:r w:rsidRPr="00D21644">
        <w:rPr>
          <w:rFonts w:eastAsia="Calibri"/>
          <w:color w:val="000000"/>
          <w:sz w:val="22"/>
          <w:szCs w:val="22"/>
        </w:rPr>
        <w:tab/>
      </w:r>
    </w:p>
    <w:p w:rsidR="00925917" w:rsidRDefault="00925917" w:rsidP="00925917">
      <w:pPr>
        <w:spacing w:before="0" w:after="0"/>
        <w:ind w:left="426"/>
        <w:jc w:val="center"/>
        <w:rPr>
          <w:rFonts w:eastAsia="Calibri"/>
          <w:color w:val="000000"/>
          <w:sz w:val="22"/>
          <w:szCs w:val="22"/>
        </w:rPr>
      </w:pPr>
    </w:p>
    <w:p w:rsidR="00925917" w:rsidRDefault="00925917" w:rsidP="00925917">
      <w:pPr>
        <w:spacing w:before="0" w:after="0"/>
        <w:jc w:val="center"/>
        <w:rPr>
          <w:rFonts w:eastAsia="Calibri"/>
          <w:color w:val="000000"/>
          <w:sz w:val="22"/>
          <w:szCs w:val="22"/>
        </w:rPr>
      </w:pPr>
      <w:r w:rsidRPr="00DD2913">
        <w:rPr>
          <w:noProof/>
          <w:lang w:val="es-MX" w:eastAsia="es-MX"/>
        </w:rPr>
        <w:lastRenderedPageBreak/>
        <w:drawing>
          <wp:inline distT="0" distB="0" distL="0" distR="0" wp14:anchorId="7C40510F" wp14:editId="4A72B964">
            <wp:extent cx="4276725" cy="3124200"/>
            <wp:effectExtent l="0" t="0" r="9525" b="0"/>
            <wp:docPr id="1632176128" name="Imagen 163217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725" cy="3124200"/>
                    </a:xfrm>
                    <a:prstGeom prst="rect">
                      <a:avLst/>
                    </a:prstGeom>
                    <a:noFill/>
                    <a:ln>
                      <a:noFill/>
                    </a:ln>
                  </pic:spPr>
                </pic:pic>
              </a:graphicData>
            </a:graphic>
          </wp:inline>
        </w:drawing>
      </w:r>
    </w:p>
    <w:p w:rsidR="00925917" w:rsidRPr="00D21644" w:rsidRDefault="00925917" w:rsidP="00925917">
      <w:pPr>
        <w:spacing w:before="0" w:after="0"/>
        <w:jc w:val="center"/>
        <w:rPr>
          <w:rFonts w:eastAsia="Calibri"/>
          <w:color w:val="000000"/>
          <w:sz w:val="22"/>
          <w:szCs w:val="22"/>
        </w:rPr>
      </w:pPr>
    </w:p>
    <w:p w:rsidR="00925917" w:rsidRPr="00D21644" w:rsidRDefault="00925917" w:rsidP="00925917">
      <w:pPr>
        <w:spacing w:before="0" w:after="0"/>
        <w:ind w:left="426"/>
        <w:rPr>
          <w:rFonts w:eastAsia="Calibri"/>
          <w:color w:val="000000"/>
          <w:sz w:val="22"/>
          <w:szCs w:val="22"/>
        </w:rPr>
      </w:pPr>
      <w:r w:rsidRPr="00D21644">
        <w:rPr>
          <w:rFonts w:eastAsia="Calibri"/>
          <w:color w:val="000000"/>
          <w:sz w:val="22"/>
          <w:szCs w:val="22"/>
        </w:rPr>
        <w:t xml:space="preserve">En este sentido, es preciso señalar que la Deuda Pública a Corto Plazo, de la Deuda Pública Total vigente, es por la cantidad de </w:t>
      </w:r>
      <w:r>
        <w:rPr>
          <w:rFonts w:eastAsia="Calibri"/>
          <w:color w:val="000000"/>
          <w:sz w:val="22"/>
          <w:szCs w:val="22"/>
        </w:rPr>
        <w:t>360</w:t>
      </w:r>
      <w:r w:rsidRPr="00D21644">
        <w:rPr>
          <w:rFonts w:eastAsia="Calibri"/>
          <w:color w:val="000000"/>
          <w:sz w:val="22"/>
          <w:szCs w:val="22"/>
        </w:rPr>
        <w:t xml:space="preserve"> millones </w:t>
      </w:r>
      <w:r>
        <w:rPr>
          <w:rFonts w:eastAsia="Calibri"/>
          <w:color w:val="000000"/>
          <w:sz w:val="22"/>
          <w:szCs w:val="22"/>
        </w:rPr>
        <w:t xml:space="preserve">815 </w:t>
      </w:r>
      <w:r w:rsidRPr="00D21644">
        <w:rPr>
          <w:rFonts w:eastAsia="Calibri"/>
          <w:color w:val="000000"/>
          <w:sz w:val="22"/>
          <w:szCs w:val="22"/>
        </w:rPr>
        <w:t xml:space="preserve">mil </w:t>
      </w:r>
      <w:r>
        <w:rPr>
          <w:rFonts w:eastAsia="Calibri"/>
          <w:color w:val="000000"/>
          <w:sz w:val="22"/>
          <w:szCs w:val="22"/>
        </w:rPr>
        <w:t>694</w:t>
      </w:r>
      <w:r w:rsidRPr="00D21644">
        <w:rPr>
          <w:rFonts w:eastAsia="Calibri"/>
          <w:color w:val="000000"/>
          <w:sz w:val="22"/>
          <w:szCs w:val="22"/>
        </w:rPr>
        <w:t xml:space="preserve"> pesos</w:t>
      </w:r>
      <w:r w:rsidRPr="00D21644">
        <w:rPr>
          <w:rFonts w:eastAsia="Calibri"/>
          <w:sz w:val="22"/>
          <w:szCs w:val="22"/>
        </w:rPr>
        <w:t xml:space="preserve">, </w:t>
      </w:r>
      <w:r w:rsidRPr="00D21644">
        <w:rPr>
          <w:rFonts w:eastAsia="Calibri"/>
          <w:color w:val="000000"/>
          <w:sz w:val="22"/>
          <w:szCs w:val="22"/>
        </w:rPr>
        <w:t>saldo al cierre del</w:t>
      </w:r>
      <w:r>
        <w:rPr>
          <w:rFonts w:eastAsia="Calibri"/>
          <w:color w:val="000000"/>
          <w:sz w:val="22"/>
          <w:szCs w:val="22"/>
        </w:rPr>
        <w:t xml:space="preserve"> cuarto  </w:t>
      </w:r>
      <w:r w:rsidRPr="00B7372B">
        <w:rPr>
          <w:rFonts w:eastAsia="Calibri"/>
          <w:color w:val="000000"/>
          <w:sz w:val="22"/>
          <w:szCs w:val="22"/>
        </w:rPr>
        <w:t xml:space="preserve">trimestre del ejercicio fiscal 2023, misma que </w:t>
      </w:r>
      <w:r w:rsidRPr="00B7372B">
        <w:rPr>
          <w:rFonts w:eastAsia="Calibri"/>
          <w:sz w:val="22"/>
          <w:szCs w:val="22"/>
        </w:rPr>
        <w:t xml:space="preserve">está </w:t>
      </w:r>
      <w:r w:rsidRPr="00B7372B">
        <w:rPr>
          <w:rFonts w:eastAsia="Calibri"/>
          <w:color w:val="000000"/>
          <w:sz w:val="22"/>
          <w:szCs w:val="22"/>
        </w:rPr>
        <w:t>integrada en su totalidad por el importe o porción que se amor</w:t>
      </w:r>
      <w:r>
        <w:rPr>
          <w:rFonts w:eastAsia="Calibri"/>
          <w:color w:val="000000"/>
          <w:sz w:val="22"/>
          <w:szCs w:val="22"/>
        </w:rPr>
        <w:t>tizará durante el ejercicio 2024</w:t>
      </w:r>
      <w:r w:rsidRPr="00B7372B">
        <w:rPr>
          <w:rFonts w:eastAsia="Calibri"/>
          <w:color w:val="000000"/>
          <w:sz w:val="22"/>
          <w:szCs w:val="22"/>
        </w:rPr>
        <w:t>, por concepto del pago de capital del crédito a largo plazo, mismo que se encuentra incluido en el servicio de la deuda de los créditos a largo plazo vigentes</w:t>
      </w:r>
      <w:r w:rsidRPr="00D21644">
        <w:rPr>
          <w:rFonts w:eastAsia="Calibri"/>
          <w:color w:val="000000"/>
          <w:sz w:val="22"/>
          <w:szCs w:val="22"/>
        </w:rPr>
        <w:t xml:space="preserve">, así como el saldo de las obligaciones de corto plazo </w:t>
      </w:r>
      <w:r>
        <w:rPr>
          <w:rFonts w:eastAsia="Calibri"/>
          <w:color w:val="000000"/>
          <w:sz w:val="22"/>
          <w:szCs w:val="22"/>
        </w:rPr>
        <w:t xml:space="preserve">quirografarias </w:t>
      </w:r>
      <w:r w:rsidRPr="00D21644">
        <w:rPr>
          <w:rFonts w:eastAsia="Calibri"/>
          <w:color w:val="000000"/>
          <w:sz w:val="22"/>
          <w:szCs w:val="22"/>
        </w:rPr>
        <w:t>contratadas al amparo de lo dispuesto en la Ley de Disciplina Financiera de las Entidades Federativas y los Municipios.</w:t>
      </w:r>
    </w:p>
    <w:p w:rsidR="00925917" w:rsidRPr="00D21644"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r w:rsidRPr="00D21644">
        <w:rPr>
          <w:rFonts w:eastAsia="Calibri"/>
          <w:color w:val="000000"/>
          <w:sz w:val="22"/>
          <w:szCs w:val="22"/>
        </w:rPr>
        <w:t>La Deuda Pública a Largo Plazo</w:t>
      </w:r>
      <w:r>
        <w:rPr>
          <w:rFonts w:eastAsia="Calibri"/>
          <w:color w:val="000000"/>
          <w:sz w:val="22"/>
          <w:szCs w:val="22"/>
        </w:rPr>
        <w:t xml:space="preserve"> a pagarse en los ejercicios fiscales subsecuentes al corriente</w:t>
      </w:r>
      <w:r w:rsidRPr="00D21644">
        <w:rPr>
          <w:rFonts w:eastAsia="Calibri"/>
          <w:color w:val="000000"/>
          <w:sz w:val="22"/>
          <w:szCs w:val="22"/>
        </w:rPr>
        <w:t xml:space="preserve">, asciende a la cantidad de 19 </w:t>
      </w:r>
      <w:r>
        <w:rPr>
          <w:rFonts w:eastAsia="Calibri"/>
          <w:color w:val="000000"/>
          <w:sz w:val="22"/>
          <w:szCs w:val="22"/>
        </w:rPr>
        <w:t>341</w:t>
      </w:r>
      <w:r w:rsidRPr="00D21644">
        <w:rPr>
          <w:rFonts w:eastAsia="Calibri"/>
          <w:color w:val="000000"/>
          <w:sz w:val="22"/>
          <w:szCs w:val="22"/>
        </w:rPr>
        <w:t xml:space="preserve"> millones </w:t>
      </w:r>
      <w:r>
        <w:rPr>
          <w:rFonts w:eastAsia="Calibri"/>
          <w:color w:val="000000"/>
          <w:sz w:val="22"/>
          <w:szCs w:val="22"/>
        </w:rPr>
        <w:t>15</w:t>
      </w:r>
      <w:r w:rsidRPr="00D21644">
        <w:rPr>
          <w:rFonts w:eastAsia="Calibri"/>
          <w:color w:val="000000"/>
          <w:sz w:val="22"/>
          <w:szCs w:val="22"/>
        </w:rPr>
        <w:t>6 mil</w:t>
      </w:r>
      <w:r>
        <w:rPr>
          <w:rFonts w:eastAsia="Calibri"/>
          <w:color w:val="000000"/>
          <w:sz w:val="22"/>
          <w:szCs w:val="22"/>
        </w:rPr>
        <w:t xml:space="preserve"> 021</w:t>
      </w:r>
      <w:r w:rsidRPr="00D21644">
        <w:rPr>
          <w:rFonts w:eastAsia="Calibri"/>
          <w:color w:val="000000"/>
          <w:sz w:val="22"/>
          <w:szCs w:val="22"/>
        </w:rPr>
        <w:t xml:space="preserve"> pesos</w:t>
      </w:r>
      <w:r w:rsidRPr="00D21644">
        <w:rPr>
          <w:rFonts w:eastAsia="Calibri"/>
          <w:sz w:val="22"/>
          <w:szCs w:val="22"/>
        </w:rPr>
        <w:t xml:space="preserve">, contraída tanto con </w:t>
      </w:r>
      <w:r w:rsidRPr="00D21644">
        <w:rPr>
          <w:rFonts w:eastAsia="Calibri"/>
          <w:color w:val="000000"/>
          <w:sz w:val="22"/>
          <w:szCs w:val="22"/>
        </w:rPr>
        <w:t>la Banca Comercial</w:t>
      </w:r>
      <w:r>
        <w:rPr>
          <w:rFonts w:eastAsia="Calibri"/>
          <w:color w:val="000000"/>
          <w:sz w:val="22"/>
          <w:szCs w:val="22"/>
        </w:rPr>
        <w:t>,</w:t>
      </w:r>
      <w:r w:rsidRPr="00D21644">
        <w:rPr>
          <w:rFonts w:eastAsia="Calibri"/>
          <w:color w:val="000000"/>
          <w:sz w:val="22"/>
          <w:szCs w:val="22"/>
        </w:rPr>
        <w:t xml:space="preserve"> como con la Banca de Desarrollo del sistema financiero mexicano, en los términos de </w:t>
      </w:r>
      <w:r>
        <w:rPr>
          <w:rFonts w:eastAsia="Calibri"/>
          <w:color w:val="000000"/>
          <w:sz w:val="22"/>
          <w:szCs w:val="22"/>
        </w:rPr>
        <w:t>la ley aplicable en la materia.</w:t>
      </w:r>
    </w:p>
    <w:p w:rsidR="00925917" w:rsidRPr="00D21644"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r w:rsidRPr="00D21644">
        <w:rPr>
          <w:rFonts w:eastAsia="Calibri"/>
          <w:color w:val="000000"/>
          <w:sz w:val="22"/>
          <w:szCs w:val="22"/>
        </w:rPr>
        <w:t>A continuación, se describen los f</w:t>
      </w:r>
      <w:r>
        <w:rPr>
          <w:rFonts w:eastAsia="Calibri"/>
          <w:color w:val="000000"/>
          <w:sz w:val="22"/>
          <w:szCs w:val="22"/>
        </w:rPr>
        <w:t>inanciamientos que la integran:</w:t>
      </w:r>
    </w:p>
    <w:p w:rsidR="00925917" w:rsidRPr="00D21644" w:rsidRDefault="00925917" w:rsidP="00925917">
      <w:pPr>
        <w:spacing w:before="0" w:after="0"/>
        <w:ind w:left="426"/>
        <w:rPr>
          <w:rFonts w:eastAsia="Calibri"/>
          <w:color w:val="000000"/>
          <w:sz w:val="22"/>
          <w:szCs w:val="22"/>
        </w:rPr>
      </w:pPr>
    </w:p>
    <w:p w:rsidR="00925917" w:rsidRPr="00D21644" w:rsidRDefault="00925917" w:rsidP="00925917">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lastRenderedPageBreak/>
        <w:t xml:space="preserve">Crédito Simple celebrado con Banco Azteca, S.A., Institución de Banca Múltiple por </w:t>
      </w:r>
      <w:r>
        <w:rPr>
          <w:rFonts w:ascii="GalanoGrotesque-Light" w:eastAsia="Calibri" w:hAnsi="GalanoGrotesque-Light" w:cstheme="minorBidi"/>
          <w:b/>
          <w:color w:val="000000"/>
          <w:sz w:val="22"/>
          <w:szCs w:val="22"/>
          <w:lang w:val="es-ES" w:eastAsia="en-US"/>
        </w:rPr>
        <w:t xml:space="preserve">hasta </w:t>
      </w:r>
      <w:r w:rsidRPr="00D21644">
        <w:rPr>
          <w:rFonts w:ascii="GalanoGrotesque-Light" w:eastAsia="Calibri" w:hAnsi="GalanoGrotesque-Light" w:cstheme="minorBidi"/>
          <w:b/>
          <w:color w:val="000000"/>
          <w:sz w:val="22"/>
          <w:szCs w:val="22"/>
          <w:lang w:val="es-ES" w:eastAsia="en-US"/>
        </w:rPr>
        <w:t xml:space="preserve">$500’000,000. </w:t>
      </w:r>
    </w:p>
    <w:p w:rsidR="00925917" w:rsidRPr="00D21644" w:rsidRDefault="00925917" w:rsidP="00925917">
      <w:pPr>
        <w:pStyle w:val="Prrafodelista"/>
        <w:ind w:left="502"/>
        <w:jc w:val="both"/>
        <w:rPr>
          <w:rFonts w:ascii="GalanoGrotesque-Light" w:eastAsia="Calibri" w:hAnsi="GalanoGrotesque-Light" w:cstheme="minorBidi"/>
          <w:color w:val="000000"/>
          <w:sz w:val="22"/>
          <w:szCs w:val="22"/>
          <w:lang w:val="es-ES" w:eastAsia="en-US"/>
        </w:rPr>
      </w:pPr>
    </w:p>
    <w:p w:rsidR="00925917" w:rsidRDefault="00925917" w:rsidP="00925917">
      <w:pPr>
        <w:ind w:left="502"/>
        <w:rPr>
          <w:rFonts w:eastAsia="Calibri"/>
          <w:color w:val="000000"/>
          <w:sz w:val="22"/>
          <w:szCs w:val="22"/>
        </w:rPr>
      </w:pPr>
      <w:r w:rsidRPr="00D21644">
        <w:rPr>
          <w:rFonts w:eastAsia="Calibri"/>
          <w:color w:val="000000"/>
          <w:sz w:val="22"/>
          <w:szCs w:val="22"/>
        </w:rPr>
        <w:t>Crédito simple celebrado el 1 de febrero de 2023, por un importe de hasta $500</w:t>
      </w:r>
      <w:r>
        <w:rPr>
          <w:rFonts w:eastAsia="Calibri"/>
          <w:color w:val="000000"/>
          <w:sz w:val="22"/>
          <w:szCs w:val="22"/>
        </w:rPr>
        <w:t>’</w:t>
      </w:r>
      <w:r w:rsidRPr="00D21644">
        <w:rPr>
          <w:rFonts w:eastAsia="Calibri"/>
          <w:color w:val="000000"/>
          <w:sz w:val="22"/>
          <w:szCs w:val="22"/>
        </w:rPr>
        <w:t>000,000.00 (quinientos millones de pesos)</w:t>
      </w:r>
      <w:r>
        <w:rPr>
          <w:rFonts w:eastAsia="Calibri"/>
          <w:color w:val="000000"/>
          <w:sz w:val="22"/>
          <w:szCs w:val="22"/>
        </w:rPr>
        <w:t xml:space="preserve"> </w:t>
      </w:r>
      <w:r w:rsidRPr="00D21644">
        <w:rPr>
          <w:rFonts w:eastAsia="Calibri"/>
          <w:color w:val="000000"/>
          <w:sz w:val="22"/>
          <w:szCs w:val="22"/>
        </w:rPr>
        <w:t>con una vigencia de hasta 240 meses, contados a partir de la fecha de la firma del contrato del crédito, pagadero mensualmente y causará una tasa de interés basada en Tasa de Interés Interbancaria de Equilibrio a 28 días (en lo sucesivo TIIE</w:t>
      </w:r>
      <w:r>
        <w:rPr>
          <w:rFonts w:eastAsia="Calibri"/>
          <w:color w:val="000000"/>
          <w:sz w:val="22"/>
          <w:szCs w:val="22"/>
        </w:rPr>
        <w:t xml:space="preserve"> 28 días</w:t>
      </w:r>
      <w:r w:rsidRPr="00D21644">
        <w:rPr>
          <w:rFonts w:eastAsia="Calibri"/>
          <w:color w:val="000000"/>
          <w:sz w:val="22"/>
          <w:szCs w:val="22"/>
        </w:rPr>
        <w:t>), más una sobretasa, de conformidad con la tabla que forma parte del contrato y que está basada en las calificaciones que emiten las agencias calificadoras respecto a la calidad crediticia del propio crédito, o a falta de esta, del Estado.</w:t>
      </w:r>
    </w:p>
    <w:p w:rsidR="00925917" w:rsidRPr="0014693F" w:rsidRDefault="00925917" w:rsidP="00925917">
      <w:pPr>
        <w:rPr>
          <w:rFonts w:eastAsia="Calibri"/>
          <w:color w:val="000000"/>
          <w:sz w:val="22"/>
          <w:szCs w:val="22"/>
        </w:rPr>
      </w:pPr>
    </w:p>
    <w:p w:rsidR="00925917" w:rsidRDefault="00925917" w:rsidP="00925917">
      <w:pPr>
        <w:ind w:left="502"/>
        <w:rPr>
          <w:rFonts w:eastAsia="Calibri"/>
          <w:color w:val="000000"/>
          <w:sz w:val="22"/>
          <w:szCs w:val="22"/>
        </w:rPr>
      </w:pPr>
      <w:r w:rsidRPr="00D21644">
        <w:rPr>
          <w:rFonts w:eastAsia="Calibri"/>
          <w:color w:val="000000"/>
          <w:sz w:val="22"/>
          <w:szCs w:val="22"/>
        </w:rPr>
        <w:t>El crédito se destinó para el refinanciamiento de la Deuda Pública establecida en el Decreto 189</w:t>
      </w:r>
      <w:r>
        <w:rPr>
          <w:rFonts w:eastAsia="Calibri"/>
          <w:color w:val="000000"/>
          <w:sz w:val="22"/>
          <w:szCs w:val="22"/>
        </w:rPr>
        <w:t>, de fecha 18 de julio de 2022.</w:t>
      </w:r>
    </w:p>
    <w:p w:rsidR="00925917" w:rsidRPr="00D21644" w:rsidRDefault="00925917" w:rsidP="00925917">
      <w:pPr>
        <w:ind w:left="502"/>
        <w:rPr>
          <w:rFonts w:eastAsia="Calibri"/>
          <w:color w:val="000000"/>
          <w:sz w:val="22"/>
          <w:szCs w:val="22"/>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El saldo 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diciembre</w:t>
      </w:r>
      <w:r w:rsidRPr="00D21644">
        <w:rPr>
          <w:rFonts w:eastAsia="Calibri"/>
          <w:color w:val="000000"/>
          <w:sz w:val="22"/>
          <w:szCs w:val="22"/>
        </w:rPr>
        <w:t xml:space="preserve"> de 2023, asciende a $48</w:t>
      </w:r>
      <w:r>
        <w:rPr>
          <w:rFonts w:eastAsia="Calibri"/>
          <w:color w:val="000000"/>
          <w:sz w:val="22"/>
          <w:szCs w:val="22"/>
        </w:rPr>
        <w:t>2</w:t>
      </w:r>
      <w:r w:rsidRPr="00D21644">
        <w:rPr>
          <w:rFonts w:eastAsia="Calibri"/>
          <w:color w:val="000000"/>
          <w:sz w:val="22"/>
          <w:szCs w:val="22"/>
        </w:rPr>
        <w:t>’</w:t>
      </w:r>
      <w:r>
        <w:rPr>
          <w:rFonts w:eastAsia="Calibri"/>
          <w:color w:val="000000"/>
          <w:sz w:val="22"/>
          <w:szCs w:val="22"/>
        </w:rPr>
        <w:t>838</w:t>
      </w:r>
      <w:r w:rsidRPr="00D21644">
        <w:rPr>
          <w:rFonts w:eastAsia="Calibri"/>
          <w:color w:val="000000"/>
          <w:sz w:val="22"/>
          <w:szCs w:val="22"/>
        </w:rPr>
        <w:t>,</w:t>
      </w:r>
      <w:r>
        <w:rPr>
          <w:rFonts w:eastAsia="Calibri"/>
          <w:color w:val="000000"/>
          <w:sz w:val="22"/>
          <w:szCs w:val="22"/>
        </w:rPr>
        <w:t>593</w:t>
      </w:r>
      <w:r w:rsidRPr="00D21644">
        <w:rPr>
          <w:rFonts w:eastAsia="Calibri"/>
          <w:color w:val="000000"/>
          <w:sz w:val="22"/>
          <w:szCs w:val="22"/>
        </w:rPr>
        <w:t xml:space="preserve">.00 (cuatrocientos </w:t>
      </w:r>
      <w:r>
        <w:rPr>
          <w:rFonts w:eastAsia="Calibri"/>
          <w:color w:val="000000"/>
          <w:sz w:val="22"/>
          <w:szCs w:val="22"/>
        </w:rPr>
        <w:t xml:space="preserve">ochenta y dos millones ochocientos treinta y ocho </w:t>
      </w:r>
      <w:r w:rsidRPr="00D21644">
        <w:rPr>
          <w:rFonts w:eastAsia="Calibri"/>
          <w:color w:val="000000"/>
          <w:sz w:val="22"/>
          <w:szCs w:val="22"/>
        </w:rPr>
        <w:t xml:space="preserve">mil </w:t>
      </w:r>
      <w:r>
        <w:rPr>
          <w:rFonts w:eastAsia="Calibri"/>
          <w:color w:val="000000"/>
          <w:sz w:val="22"/>
          <w:szCs w:val="22"/>
        </w:rPr>
        <w:t xml:space="preserve">quinientos noventa y tres </w:t>
      </w:r>
      <w:r w:rsidRPr="00D21644">
        <w:rPr>
          <w:rFonts w:eastAsia="Calibri"/>
          <w:color w:val="000000"/>
          <w:sz w:val="22"/>
          <w:szCs w:val="22"/>
        </w:rPr>
        <w:t>pesos).</w:t>
      </w:r>
    </w:p>
    <w:p w:rsidR="00925917" w:rsidRPr="00D21644" w:rsidRDefault="00925917" w:rsidP="00925917">
      <w:pPr>
        <w:spacing w:before="0" w:after="0"/>
        <w:rPr>
          <w:rFonts w:eastAsia="Calibri"/>
          <w:b/>
          <w:color w:val="000000"/>
          <w:sz w:val="22"/>
          <w:szCs w:val="22"/>
        </w:rPr>
      </w:pPr>
    </w:p>
    <w:p w:rsidR="00925917" w:rsidRPr="00D21644" w:rsidRDefault="00925917" w:rsidP="00925917">
      <w:pPr>
        <w:widowControl w:val="0"/>
        <w:numPr>
          <w:ilvl w:val="0"/>
          <w:numId w:val="4"/>
        </w:numPr>
        <w:kinsoku w:val="0"/>
        <w:spacing w:before="0" w:after="0" w:line="240" w:lineRule="auto"/>
        <w:ind w:left="502"/>
        <w:contextualSpacing/>
        <w:rPr>
          <w:rFonts w:eastAsia="Calibri"/>
          <w:b/>
          <w:bCs/>
          <w:color w:val="000000"/>
          <w:sz w:val="22"/>
          <w:szCs w:val="22"/>
        </w:rPr>
      </w:pPr>
      <w:r w:rsidRPr="00D21644">
        <w:rPr>
          <w:rFonts w:eastAsia="Calibri"/>
          <w:b/>
          <w:bCs/>
          <w:color w:val="000000"/>
          <w:sz w:val="22"/>
          <w:szCs w:val="22"/>
        </w:rPr>
        <w:t>Crédito simple celebrado con el Banco del Bajío, S.A., por</w:t>
      </w:r>
      <w:r>
        <w:rPr>
          <w:rFonts w:eastAsia="Calibri"/>
          <w:b/>
          <w:bCs/>
          <w:color w:val="000000"/>
          <w:sz w:val="22"/>
          <w:szCs w:val="22"/>
        </w:rPr>
        <w:t xml:space="preserve"> hasta</w:t>
      </w:r>
      <w:r w:rsidRPr="00D21644">
        <w:rPr>
          <w:rFonts w:eastAsia="Calibri"/>
          <w:b/>
          <w:bCs/>
          <w:color w:val="000000"/>
          <w:sz w:val="22"/>
          <w:szCs w:val="22"/>
        </w:rPr>
        <w:t xml:space="preserve"> $600’000,000.00.</w:t>
      </w:r>
    </w:p>
    <w:p w:rsidR="00925917" w:rsidRPr="00D21644" w:rsidRDefault="00925917" w:rsidP="00925917">
      <w:pPr>
        <w:spacing w:before="0" w:after="0"/>
        <w:rPr>
          <w:rFonts w:eastAsia="Calibri"/>
          <w:color w:val="000000"/>
          <w:sz w:val="22"/>
          <w:szCs w:val="22"/>
        </w:rPr>
      </w:pPr>
    </w:p>
    <w:p w:rsidR="00925917" w:rsidRPr="00D21644" w:rsidRDefault="00925917" w:rsidP="00925917">
      <w:pPr>
        <w:spacing w:before="0" w:after="0"/>
        <w:ind w:left="426"/>
        <w:rPr>
          <w:rFonts w:eastAsia="Calibri"/>
          <w:color w:val="000000"/>
          <w:sz w:val="22"/>
          <w:szCs w:val="22"/>
        </w:rPr>
      </w:pPr>
      <w:r w:rsidRPr="00D21644">
        <w:rPr>
          <w:rFonts w:eastAsia="Calibri"/>
          <w:color w:val="000000"/>
          <w:sz w:val="22"/>
          <w:szCs w:val="22"/>
        </w:rPr>
        <w:t xml:space="preserve">Crédito simple celebrado el 1 de febrero de 2023, por un importe de hasta $600’000,000.00 </w:t>
      </w:r>
      <w:r w:rsidRPr="00D21644">
        <w:rPr>
          <w:rFonts w:eastAsia="Calibri"/>
          <w:sz w:val="22"/>
          <w:szCs w:val="22"/>
        </w:rPr>
        <w:t xml:space="preserve">(seiscientos millones de pesos) </w:t>
      </w:r>
      <w:r w:rsidRPr="00D21644">
        <w:rPr>
          <w:rFonts w:eastAsia="Calibri"/>
          <w:color w:val="000000"/>
          <w:sz w:val="22"/>
          <w:szCs w:val="22"/>
        </w:rPr>
        <w:t>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925917" w:rsidRPr="00D21644" w:rsidRDefault="00925917" w:rsidP="00925917">
      <w:pPr>
        <w:spacing w:before="0" w:after="0"/>
        <w:ind w:left="426"/>
        <w:rPr>
          <w:rFonts w:eastAsia="Calibri"/>
          <w:color w:val="000000"/>
          <w:sz w:val="22"/>
          <w:szCs w:val="22"/>
        </w:rPr>
      </w:pPr>
    </w:p>
    <w:p w:rsidR="00925917" w:rsidRDefault="00925917" w:rsidP="00925917">
      <w:pPr>
        <w:spacing w:before="0" w:after="0"/>
        <w:ind w:left="426"/>
        <w:rPr>
          <w:rFonts w:eastAsia="Calibri"/>
          <w:color w:val="000000"/>
          <w:sz w:val="22"/>
          <w:szCs w:val="22"/>
        </w:rPr>
      </w:pPr>
      <w:r w:rsidRPr="00D21644">
        <w:rPr>
          <w:rFonts w:eastAsia="Calibri"/>
          <w:color w:val="000000"/>
          <w:sz w:val="22"/>
          <w:szCs w:val="22"/>
        </w:rPr>
        <w:t>El crédito se destinó para el refinanciamiento de la Deuda Pública establecida en el Decreto 189, de fecha 18 de julio de 2022.</w:t>
      </w:r>
    </w:p>
    <w:p w:rsidR="00925917" w:rsidRPr="00D21644" w:rsidRDefault="00925917" w:rsidP="00925917">
      <w:pPr>
        <w:spacing w:before="0" w:after="0"/>
        <w:ind w:left="426"/>
        <w:rPr>
          <w:rFonts w:eastAsia="Calibri"/>
          <w:color w:val="000000"/>
          <w:sz w:val="22"/>
          <w:szCs w:val="22"/>
        </w:rPr>
      </w:pPr>
    </w:p>
    <w:p w:rsidR="00925917" w:rsidRPr="00D21644" w:rsidRDefault="00925917" w:rsidP="00925917">
      <w:pPr>
        <w:spacing w:before="0" w:after="0"/>
        <w:ind w:left="360"/>
        <w:rPr>
          <w:rFonts w:eastAsia="Calibri"/>
          <w:color w:val="000000"/>
          <w:sz w:val="22"/>
          <w:szCs w:val="22"/>
        </w:rPr>
      </w:pPr>
      <w:r w:rsidRPr="00D21644">
        <w:rPr>
          <w:rFonts w:eastAsia="Calibri"/>
          <w:color w:val="000000"/>
          <w:sz w:val="22"/>
          <w:szCs w:val="22"/>
        </w:rPr>
        <w:t>El saldo 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diciembre</w:t>
      </w:r>
      <w:r w:rsidRPr="00D21644">
        <w:rPr>
          <w:rFonts w:eastAsia="Calibri"/>
          <w:color w:val="000000"/>
          <w:sz w:val="22"/>
          <w:szCs w:val="22"/>
        </w:rPr>
        <w:t xml:space="preserve"> de 2023, asciende a $58</w:t>
      </w:r>
      <w:r>
        <w:rPr>
          <w:rFonts w:eastAsia="Calibri"/>
          <w:color w:val="000000"/>
          <w:sz w:val="22"/>
          <w:szCs w:val="22"/>
        </w:rPr>
        <w:t>8</w:t>
      </w:r>
      <w:r w:rsidRPr="00D21644">
        <w:rPr>
          <w:rFonts w:eastAsia="Calibri"/>
          <w:color w:val="000000"/>
          <w:sz w:val="22"/>
          <w:szCs w:val="22"/>
        </w:rPr>
        <w:t>’</w:t>
      </w:r>
      <w:r>
        <w:rPr>
          <w:rFonts w:eastAsia="Calibri"/>
          <w:color w:val="000000"/>
          <w:sz w:val="22"/>
          <w:szCs w:val="22"/>
        </w:rPr>
        <w:t>850</w:t>
      </w:r>
      <w:r w:rsidRPr="00D21644">
        <w:rPr>
          <w:rFonts w:eastAsia="Calibri"/>
          <w:color w:val="000000"/>
          <w:sz w:val="22"/>
          <w:szCs w:val="22"/>
        </w:rPr>
        <w:t>,</w:t>
      </w:r>
      <w:r>
        <w:rPr>
          <w:rFonts w:eastAsia="Calibri"/>
          <w:color w:val="000000"/>
          <w:sz w:val="22"/>
          <w:szCs w:val="22"/>
        </w:rPr>
        <w:t>774</w:t>
      </w:r>
      <w:r w:rsidRPr="00D21644">
        <w:rPr>
          <w:rFonts w:eastAsia="Calibri"/>
          <w:color w:val="000000"/>
          <w:sz w:val="22"/>
          <w:szCs w:val="22"/>
        </w:rPr>
        <w:t xml:space="preserve">.00 </w:t>
      </w:r>
      <w:r w:rsidRPr="00D21644">
        <w:rPr>
          <w:rFonts w:eastAsia="Calibri"/>
          <w:sz w:val="22"/>
          <w:szCs w:val="22"/>
        </w:rPr>
        <w:t>(quini</w:t>
      </w:r>
      <w:r>
        <w:rPr>
          <w:rFonts w:eastAsia="Calibri"/>
          <w:sz w:val="22"/>
          <w:szCs w:val="22"/>
        </w:rPr>
        <w:t xml:space="preserve">entos ochenta y ocho millones ochocientos cincuenta </w:t>
      </w:r>
      <w:r w:rsidRPr="00D21644">
        <w:rPr>
          <w:rFonts w:eastAsia="Calibri"/>
          <w:sz w:val="22"/>
          <w:szCs w:val="22"/>
        </w:rPr>
        <w:t xml:space="preserve">mil </w:t>
      </w:r>
      <w:r>
        <w:rPr>
          <w:rFonts w:eastAsia="Calibri"/>
          <w:sz w:val="22"/>
          <w:szCs w:val="22"/>
        </w:rPr>
        <w:t xml:space="preserve">setecientos setenta y cuatro </w:t>
      </w:r>
      <w:r w:rsidRPr="00D21644">
        <w:rPr>
          <w:rFonts w:eastAsia="Calibri"/>
          <w:sz w:val="22"/>
          <w:szCs w:val="22"/>
        </w:rPr>
        <w:t>pesos).</w:t>
      </w:r>
    </w:p>
    <w:p w:rsidR="00925917" w:rsidRPr="00D21644" w:rsidRDefault="00925917" w:rsidP="00925917">
      <w:pPr>
        <w:pStyle w:val="Prrafodelista"/>
        <w:ind w:left="502"/>
        <w:rPr>
          <w:rFonts w:ascii="GalanoGrotesque-Light" w:eastAsia="Calibri" w:hAnsi="GalanoGrotesque-Light" w:cstheme="minorBidi"/>
          <w:b/>
          <w:color w:val="000000"/>
          <w:sz w:val="22"/>
          <w:szCs w:val="22"/>
          <w:lang w:val="es-ES" w:eastAsia="en-US"/>
        </w:rPr>
      </w:pPr>
    </w:p>
    <w:p w:rsidR="00925917" w:rsidRPr="00D21644" w:rsidRDefault="00925917" w:rsidP="00925917">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Crédito Simple celebrado con Banco Nacional de Obras y Servicios Públicos, S.N.C.</w:t>
      </w:r>
      <w:r>
        <w:rPr>
          <w:rFonts w:ascii="GalanoGrotesque-Light" w:eastAsia="Calibri" w:hAnsi="GalanoGrotesque-Light" w:cstheme="minorBidi"/>
          <w:b/>
          <w:color w:val="000000"/>
          <w:sz w:val="22"/>
          <w:szCs w:val="22"/>
          <w:lang w:val="es-ES" w:eastAsia="en-US"/>
        </w:rPr>
        <w:t xml:space="preserve"> por hasta $10,899’</w:t>
      </w:r>
      <w:r w:rsidRPr="00D21644">
        <w:rPr>
          <w:rFonts w:ascii="GalanoGrotesque-Light" w:eastAsia="Calibri" w:hAnsi="GalanoGrotesque-Light" w:cstheme="minorBidi"/>
          <w:b/>
          <w:color w:val="000000"/>
          <w:sz w:val="22"/>
          <w:szCs w:val="22"/>
          <w:lang w:val="es-ES" w:eastAsia="en-US"/>
        </w:rPr>
        <w:t>822,238</w:t>
      </w:r>
      <w:r>
        <w:rPr>
          <w:rFonts w:ascii="GalanoGrotesque-Light" w:eastAsia="Calibri" w:hAnsi="GalanoGrotesque-Light" w:cstheme="minorBidi"/>
          <w:b/>
          <w:color w:val="000000"/>
          <w:sz w:val="22"/>
          <w:szCs w:val="22"/>
          <w:lang w:val="es-ES" w:eastAsia="en-US"/>
        </w:rPr>
        <w:t>.00 (BANOBRAS 1)</w:t>
      </w:r>
      <w:r w:rsidRPr="00D21644">
        <w:rPr>
          <w:rFonts w:ascii="GalanoGrotesque-Light" w:eastAsia="Calibri" w:hAnsi="GalanoGrotesque-Light" w:cstheme="minorBidi"/>
          <w:b/>
          <w:color w:val="000000"/>
          <w:sz w:val="22"/>
          <w:szCs w:val="22"/>
          <w:lang w:val="es-ES" w:eastAsia="en-US"/>
        </w:rPr>
        <w:t>.</w:t>
      </w:r>
    </w:p>
    <w:p w:rsidR="00925917" w:rsidRPr="00D21644" w:rsidRDefault="00925917" w:rsidP="00925917">
      <w:pPr>
        <w:ind w:left="142"/>
        <w:rPr>
          <w:rFonts w:eastAsia="Calibri"/>
          <w:color w:val="000000"/>
          <w:sz w:val="22"/>
          <w:szCs w:val="22"/>
        </w:rPr>
      </w:pPr>
    </w:p>
    <w:p w:rsidR="00925917" w:rsidRPr="00D21644" w:rsidRDefault="00925917" w:rsidP="00925917">
      <w:pPr>
        <w:ind w:left="502"/>
        <w:rPr>
          <w:rFonts w:eastAsia="Calibri"/>
          <w:b/>
          <w:color w:val="000000"/>
          <w:sz w:val="22"/>
          <w:szCs w:val="22"/>
        </w:rPr>
      </w:pPr>
      <w:r w:rsidRPr="00D21644">
        <w:rPr>
          <w:rFonts w:eastAsia="Calibri"/>
          <w:color w:val="000000"/>
          <w:sz w:val="22"/>
          <w:szCs w:val="22"/>
        </w:rPr>
        <w:t xml:space="preserve">Crédito simple celebrado el 1 de febrero de 2023, </w:t>
      </w:r>
      <w:r>
        <w:rPr>
          <w:rFonts w:eastAsia="Calibri"/>
          <w:color w:val="000000"/>
          <w:sz w:val="22"/>
          <w:szCs w:val="22"/>
        </w:rPr>
        <w:t>por un importe de hasta $10,899’</w:t>
      </w:r>
      <w:r w:rsidRPr="00D21644">
        <w:rPr>
          <w:rFonts w:eastAsia="Calibri"/>
          <w:color w:val="000000"/>
          <w:sz w:val="22"/>
          <w:szCs w:val="22"/>
        </w:rPr>
        <w:t>822,238</w:t>
      </w:r>
      <w:r>
        <w:rPr>
          <w:rFonts w:eastAsia="Calibri"/>
          <w:color w:val="000000"/>
          <w:sz w:val="22"/>
          <w:szCs w:val="22"/>
        </w:rPr>
        <w:t xml:space="preserve"> </w:t>
      </w:r>
      <w:r w:rsidRPr="00D21644">
        <w:rPr>
          <w:rFonts w:eastAsia="Calibri"/>
          <w:color w:val="000000"/>
          <w:sz w:val="22"/>
          <w:szCs w:val="22"/>
        </w:rPr>
        <w:t>(diez mil ochocientos noventa y nueve millones ochocientos veintidós mil doscientos treinta y ocho pesos)</w:t>
      </w:r>
      <w:r>
        <w:rPr>
          <w:rFonts w:eastAsia="Calibri"/>
          <w:color w:val="000000"/>
          <w:sz w:val="22"/>
          <w:szCs w:val="22"/>
        </w:rPr>
        <w:t xml:space="preserve"> </w:t>
      </w:r>
      <w:r w:rsidRPr="00D21644">
        <w:rPr>
          <w:rFonts w:eastAsia="Calibri"/>
          <w:color w:val="000000"/>
          <w:sz w:val="22"/>
          <w:szCs w:val="22"/>
        </w:rPr>
        <w:t>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925917" w:rsidRPr="00D21644" w:rsidRDefault="00925917" w:rsidP="00925917">
      <w:pPr>
        <w:pStyle w:val="Prrafodelista"/>
        <w:ind w:left="502"/>
        <w:rPr>
          <w:rFonts w:ascii="GalanoGrotesque-Light" w:eastAsia="Calibri" w:hAnsi="GalanoGrotesque-Light" w:cstheme="minorBidi"/>
          <w:color w:val="000000"/>
          <w:sz w:val="22"/>
          <w:szCs w:val="22"/>
          <w:lang w:val="es-ES" w:eastAsia="en-US"/>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El crédito se destinó para el refinanciamiento de la Deuda Pública establecida en el Decreto 189, de fecha 18 de julio de 2022.</w:t>
      </w:r>
    </w:p>
    <w:p w:rsidR="00925917" w:rsidRPr="00D21644" w:rsidRDefault="00925917" w:rsidP="00925917">
      <w:pPr>
        <w:pStyle w:val="Prrafodelista"/>
        <w:ind w:left="502"/>
        <w:rPr>
          <w:rFonts w:ascii="GalanoGrotesque-Light" w:eastAsia="Calibri" w:hAnsi="GalanoGrotesque-Light" w:cstheme="minorBidi"/>
          <w:color w:val="000000"/>
          <w:sz w:val="22"/>
          <w:szCs w:val="22"/>
          <w:lang w:val="es-ES" w:eastAsia="en-US"/>
        </w:rPr>
      </w:pPr>
    </w:p>
    <w:p w:rsidR="00925917" w:rsidRDefault="00925917" w:rsidP="00925917">
      <w:pPr>
        <w:ind w:left="425"/>
        <w:rPr>
          <w:rFonts w:eastAsia="Calibri"/>
          <w:color w:val="000000"/>
          <w:sz w:val="22"/>
          <w:szCs w:val="22"/>
        </w:rPr>
      </w:pPr>
      <w:r w:rsidRPr="00D21644">
        <w:rPr>
          <w:rFonts w:eastAsia="Calibri"/>
          <w:color w:val="000000"/>
          <w:sz w:val="22"/>
          <w:szCs w:val="22"/>
        </w:rPr>
        <w:t>El saldo 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 xml:space="preserve">diciembre </w:t>
      </w:r>
      <w:r w:rsidRPr="00D21644">
        <w:rPr>
          <w:rFonts w:eastAsia="Calibri"/>
          <w:color w:val="000000"/>
          <w:sz w:val="22"/>
          <w:szCs w:val="22"/>
        </w:rPr>
        <w:t>de 2023, asciende a $10,5</w:t>
      </w:r>
      <w:r>
        <w:rPr>
          <w:rFonts w:eastAsia="Calibri"/>
          <w:color w:val="000000"/>
          <w:sz w:val="22"/>
          <w:szCs w:val="22"/>
        </w:rPr>
        <w:t>49’178,798</w:t>
      </w:r>
      <w:r w:rsidRPr="00D21644">
        <w:rPr>
          <w:rFonts w:eastAsia="Calibri"/>
          <w:color w:val="000000"/>
          <w:sz w:val="22"/>
          <w:szCs w:val="22"/>
        </w:rPr>
        <w:t>.00 (diez mil quinientos c</w:t>
      </w:r>
      <w:r>
        <w:rPr>
          <w:rFonts w:eastAsia="Calibri"/>
          <w:color w:val="000000"/>
          <w:sz w:val="22"/>
          <w:szCs w:val="22"/>
        </w:rPr>
        <w:t xml:space="preserve">uarenta y nueve </w:t>
      </w:r>
      <w:r w:rsidRPr="00D21644">
        <w:rPr>
          <w:rFonts w:eastAsia="Calibri"/>
          <w:color w:val="000000"/>
          <w:sz w:val="22"/>
          <w:szCs w:val="22"/>
        </w:rPr>
        <w:t xml:space="preserve">millones </w:t>
      </w:r>
      <w:r>
        <w:rPr>
          <w:rFonts w:eastAsia="Calibri"/>
          <w:color w:val="000000"/>
          <w:sz w:val="22"/>
          <w:szCs w:val="22"/>
        </w:rPr>
        <w:t xml:space="preserve">ciento setenta y ocho </w:t>
      </w:r>
      <w:r w:rsidRPr="00D21644">
        <w:rPr>
          <w:rFonts w:eastAsia="Calibri"/>
          <w:color w:val="000000"/>
          <w:sz w:val="22"/>
          <w:szCs w:val="22"/>
        </w:rPr>
        <w:t xml:space="preserve">mil </w:t>
      </w:r>
      <w:r>
        <w:rPr>
          <w:rFonts w:eastAsia="Calibri"/>
          <w:color w:val="000000"/>
          <w:sz w:val="22"/>
          <w:szCs w:val="22"/>
        </w:rPr>
        <w:t xml:space="preserve">setecientos noventa y ocho </w:t>
      </w:r>
      <w:r w:rsidRPr="00D21644">
        <w:rPr>
          <w:rFonts w:eastAsia="Calibri"/>
          <w:color w:val="000000"/>
          <w:sz w:val="22"/>
          <w:szCs w:val="22"/>
        </w:rPr>
        <w:t xml:space="preserve"> pesos).</w:t>
      </w:r>
    </w:p>
    <w:p w:rsidR="00925917" w:rsidRDefault="00925917" w:rsidP="00925917">
      <w:pPr>
        <w:ind w:left="425"/>
        <w:rPr>
          <w:rFonts w:eastAsia="Calibri"/>
          <w:color w:val="000000"/>
          <w:sz w:val="22"/>
          <w:szCs w:val="22"/>
        </w:rPr>
      </w:pPr>
    </w:p>
    <w:p w:rsidR="00925917" w:rsidRPr="00D21644" w:rsidRDefault="00925917" w:rsidP="00925917">
      <w:pPr>
        <w:numPr>
          <w:ilvl w:val="0"/>
          <w:numId w:val="4"/>
        </w:numPr>
        <w:spacing w:before="0" w:after="0"/>
        <w:ind w:left="425"/>
        <w:rPr>
          <w:rFonts w:eastAsia="Calibri"/>
          <w:b/>
          <w:color w:val="000000"/>
          <w:sz w:val="22"/>
          <w:szCs w:val="22"/>
        </w:rPr>
      </w:pPr>
      <w:r w:rsidRPr="00D21644">
        <w:rPr>
          <w:rFonts w:eastAsia="Calibri"/>
          <w:b/>
          <w:color w:val="000000"/>
          <w:sz w:val="22"/>
          <w:szCs w:val="22"/>
        </w:rPr>
        <w:t xml:space="preserve">Crédito Simple celebrado con el Banco Nacional de Obras y Servicios Públicos S.N.C. por </w:t>
      </w:r>
      <w:r>
        <w:rPr>
          <w:rFonts w:eastAsia="Calibri"/>
          <w:b/>
          <w:color w:val="000000"/>
          <w:sz w:val="22"/>
          <w:szCs w:val="22"/>
        </w:rPr>
        <w:t xml:space="preserve">hasta </w:t>
      </w:r>
      <w:r w:rsidRPr="00D21644">
        <w:rPr>
          <w:rFonts w:eastAsia="Calibri"/>
          <w:b/>
          <w:color w:val="000000"/>
          <w:sz w:val="22"/>
          <w:szCs w:val="22"/>
        </w:rPr>
        <w:t xml:space="preserve">$470’000,000. </w:t>
      </w:r>
    </w:p>
    <w:p w:rsidR="00925917" w:rsidRPr="00D21644" w:rsidRDefault="00925917" w:rsidP="00925917">
      <w:pPr>
        <w:spacing w:before="0" w:after="0"/>
        <w:rPr>
          <w:rFonts w:eastAsia="Calibri"/>
          <w:sz w:val="22"/>
          <w:szCs w:val="22"/>
        </w:rPr>
      </w:pPr>
    </w:p>
    <w:p w:rsidR="00925917" w:rsidRPr="00D21644" w:rsidRDefault="00925917" w:rsidP="00925917">
      <w:pPr>
        <w:spacing w:before="0" w:after="0"/>
        <w:ind w:left="425"/>
        <w:rPr>
          <w:rFonts w:eastAsia="Calibri"/>
          <w:color w:val="000000"/>
          <w:sz w:val="22"/>
          <w:szCs w:val="22"/>
        </w:rPr>
      </w:pPr>
      <w:r w:rsidRPr="00D21644">
        <w:rPr>
          <w:rFonts w:eastAsia="Calibri"/>
          <w:sz w:val="22"/>
          <w:szCs w:val="22"/>
        </w:rPr>
        <w:lastRenderedPageBreak/>
        <w:t>Crédito simpl</w:t>
      </w:r>
      <w:r>
        <w:rPr>
          <w:rFonts w:eastAsia="Calibri"/>
          <w:sz w:val="22"/>
          <w:szCs w:val="22"/>
        </w:rPr>
        <w:t xml:space="preserve">e celebrado el 22 de julio 2022, </w:t>
      </w:r>
      <w:r w:rsidRPr="00D21644">
        <w:rPr>
          <w:rFonts w:eastAsia="Calibri"/>
          <w:sz w:val="22"/>
          <w:szCs w:val="22"/>
        </w:rPr>
        <w:t xml:space="preserve">y únicamente se dispuso $381,575,713.00 (trescientos ochenta y un millones quinientos setenta y cinco mil setecientos trece pesos), con una vigencia de hasta 57 </w:t>
      </w:r>
      <w:r w:rsidRPr="00D21644">
        <w:rPr>
          <w:rFonts w:eastAsia="Calibri"/>
          <w:color w:val="000000"/>
          <w:sz w:val="22"/>
          <w:szCs w:val="22"/>
        </w:rPr>
        <w:t>meses contados a partir de la fecha de la disposición del crédito, pagadero mensualmente y causará una tasa de interés fija, de la suma de una base 9.86% más sobretasa 1.15%, de conformidad con la tabla que forma parte del contrato y que está basada en las calificaciones que emiten las agencias calificadoras respecto a la calidad crediticia del crédito, y a falta de esta, la del propio Estado.</w:t>
      </w:r>
    </w:p>
    <w:p w:rsidR="00925917" w:rsidRPr="00D21644" w:rsidRDefault="00925917" w:rsidP="00925917">
      <w:pPr>
        <w:spacing w:before="0" w:after="0"/>
        <w:rPr>
          <w:rFonts w:eastAsia="Calibri"/>
          <w:color w:val="000000"/>
          <w:sz w:val="22"/>
          <w:szCs w:val="22"/>
        </w:rPr>
      </w:pPr>
    </w:p>
    <w:p w:rsidR="00925917" w:rsidRPr="00D21644" w:rsidRDefault="00925917" w:rsidP="00925917">
      <w:pPr>
        <w:spacing w:before="0" w:after="0"/>
        <w:ind w:left="426"/>
        <w:rPr>
          <w:rFonts w:eastAsia="Calibri"/>
          <w:color w:val="000000"/>
          <w:sz w:val="22"/>
          <w:szCs w:val="22"/>
        </w:rPr>
      </w:pPr>
      <w:r w:rsidRPr="00D21644">
        <w:rPr>
          <w:rFonts w:eastAsia="Calibri"/>
          <w:color w:val="000000"/>
          <w:sz w:val="22"/>
          <w:szCs w:val="22"/>
        </w:rPr>
        <w:t xml:space="preserve">El crédito se destinó a inversiones públicas productivas, conforme lo dispuesto al decreto legislativo número 120 de fecha 27 de diciembre de 2021, y </w:t>
      </w:r>
      <w:r>
        <w:rPr>
          <w:rFonts w:eastAsia="Calibri"/>
          <w:color w:val="000000"/>
          <w:sz w:val="22"/>
          <w:szCs w:val="22"/>
        </w:rPr>
        <w:t>se afecta</w:t>
      </w:r>
      <w:r w:rsidRPr="00D21644">
        <w:rPr>
          <w:rFonts w:eastAsia="Calibri"/>
          <w:color w:val="000000"/>
          <w:sz w:val="22"/>
          <w:szCs w:val="22"/>
        </w:rPr>
        <w:t xml:space="preserve"> </w:t>
      </w:r>
      <w:r>
        <w:rPr>
          <w:rFonts w:eastAsia="Calibri"/>
          <w:color w:val="000000"/>
          <w:sz w:val="22"/>
          <w:szCs w:val="22"/>
        </w:rPr>
        <w:t xml:space="preserve">hasta </w:t>
      </w:r>
      <w:r w:rsidRPr="00D21644">
        <w:rPr>
          <w:rFonts w:eastAsia="Calibri"/>
          <w:color w:val="000000"/>
          <w:sz w:val="22"/>
          <w:szCs w:val="22"/>
        </w:rPr>
        <w:t>el 25 % del Fondo de Infraestructura Social para las Entidades (FISE)</w:t>
      </w:r>
      <w:r>
        <w:rPr>
          <w:rFonts w:eastAsia="Calibri"/>
          <w:color w:val="000000"/>
          <w:sz w:val="22"/>
          <w:szCs w:val="22"/>
        </w:rPr>
        <w:t xml:space="preserve"> como fuente de pago</w:t>
      </w:r>
      <w:r w:rsidRPr="00D21644">
        <w:rPr>
          <w:rFonts w:eastAsia="Calibri"/>
          <w:color w:val="000000"/>
          <w:sz w:val="22"/>
          <w:szCs w:val="22"/>
        </w:rPr>
        <w:t>.</w:t>
      </w:r>
    </w:p>
    <w:p w:rsidR="00925917" w:rsidRPr="00D21644" w:rsidRDefault="00925917" w:rsidP="00925917">
      <w:pPr>
        <w:spacing w:before="0" w:after="0"/>
        <w:ind w:left="426"/>
        <w:rPr>
          <w:rFonts w:eastAsia="Calibri"/>
          <w:color w:val="000000"/>
          <w:sz w:val="22"/>
          <w:szCs w:val="22"/>
        </w:rPr>
      </w:pPr>
    </w:p>
    <w:p w:rsidR="00925917" w:rsidRPr="00D21644" w:rsidRDefault="00925917" w:rsidP="00925917">
      <w:pPr>
        <w:spacing w:before="0" w:after="0"/>
        <w:ind w:left="426"/>
        <w:rPr>
          <w:rFonts w:eastAsia="Calibri"/>
          <w:color w:val="000000"/>
          <w:sz w:val="22"/>
          <w:szCs w:val="22"/>
        </w:rPr>
      </w:pPr>
      <w:r w:rsidRPr="00D21644">
        <w:rPr>
          <w:rFonts w:eastAsia="Calibri"/>
          <w:color w:val="000000"/>
          <w:sz w:val="22"/>
          <w:szCs w:val="22"/>
        </w:rPr>
        <w:t>El saldo al 3</w:t>
      </w:r>
      <w:r>
        <w:rPr>
          <w:rFonts w:eastAsia="Calibri"/>
          <w:color w:val="000000"/>
          <w:sz w:val="22"/>
          <w:szCs w:val="22"/>
        </w:rPr>
        <w:t xml:space="preserve">1 de diciembre </w:t>
      </w:r>
      <w:r w:rsidRPr="00D21644">
        <w:rPr>
          <w:rFonts w:eastAsia="Calibri"/>
          <w:color w:val="000000"/>
          <w:sz w:val="22"/>
          <w:szCs w:val="22"/>
        </w:rPr>
        <w:t>de 2023 asciende a $3</w:t>
      </w:r>
      <w:r>
        <w:rPr>
          <w:rFonts w:eastAsia="Calibri"/>
          <w:color w:val="000000"/>
          <w:sz w:val="22"/>
          <w:szCs w:val="22"/>
        </w:rPr>
        <w:t>06’775,337.00</w:t>
      </w:r>
      <w:r w:rsidRPr="00D21644">
        <w:rPr>
          <w:rFonts w:eastAsia="Calibri"/>
          <w:color w:val="000000"/>
          <w:sz w:val="22"/>
          <w:szCs w:val="22"/>
        </w:rPr>
        <w:t xml:space="preserve"> (trescientos </w:t>
      </w:r>
      <w:r>
        <w:rPr>
          <w:rFonts w:eastAsia="Calibri"/>
          <w:color w:val="000000"/>
          <w:sz w:val="22"/>
          <w:szCs w:val="22"/>
        </w:rPr>
        <w:t xml:space="preserve">seis </w:t>
      </w:r>
      <w:r w:rsidRPr="00D21644">
        <w:rPr>
          <w:rFonts w:eastAsia="Calibri"/>
          <w:color w:val="000000"/>
          <w:sz w:val="22"/>
          <w:szCs w:val="22"/>
        </w:rPr>
        <w:t xml:space="preserve">millones </w:t>
      </w:r>
      <w:r>
        <w:rPr>
          <w:rFonts w:eastAsia="Calibri"/>
          <w:color w:val="000000"/>
          <w:sz w:val="22"/>
          <w:szCs w:val="22"/>
        </w:rPr>
        <w:t xml:space="preserve">setecientos setenta y cinco </w:t>
      </w:r>
      <w:r w:rsidRPr="00D21644">
        <w:rPr>
          <w:rFonts w:eastAsia="Calibri"/>
          <w:color w:val="000000"/>
          <w:sz w:val="22"/>
          <w:szCs w:val="22"/>
        </w:rPr>
        <w:t xml:space="preserve">mil </w:t>
      </w:r>
      <w:r>
        <w:rPr>
          <w:rFonts w:eastAsia="Calibri"/>
          <w:color w:val="000000"/>
          <w:sz w:val="22"/>
          <w:szCs w:val="22"/>
        </w:rPr>
        <w:t xml:space="preserve">trescientos treinta y siete </w:t>
      </w:r>
      <w:r w:rsidRPr="00D21644">
        <w:rPr>
          <w:rFonts w:eastAsia="Calibri"/>
          <w:color w:val="000000"/>
          <w:sz w:val="22"/>
          <w:szCs w:val="22"/>
        </w:rPr>
        <w:t>pesos).</w:t>
      </w:r>
    </w:p>
    <w:p w:rsidR="00925917" w:rsidRDefault="00925917" w:rsidP="00925917">
      <w:pPr>
        <w:ind w:left="425"/>
        <w:rPr>
          <w:rFonts w:eastAsia="Calibri"/>
          <w:color w:val="000000"/>
          <w:sz w:val="22"/>
          <w:szCs w:val="22"/>
        </w:rPr>
      </w:pPr>
    </w:p>
    <w:p w:rsidR="00925917" w:rsidRDefault="00925917" w:rsidP="00925917">
      <w:pPr>
        <w:ind w:left="425"/>
        <w:rPr>
          <w:rFonts w:eastAsia="Calibri"/>
          <w:color w:val="000000"/>
          <w:sz w:val="22"/>
          <w:szCs w:val="22"/>
        </w:rPr>
      </w:pPr>
    </w:p>
    <w:p w:rsidR="00925917" w:rsidRDefault="00925917" w:rsidP="00925917">
      <w:pPr>
        <w:ind w:left="425"/>
        <w:rPr>
          <w:rFonts w:eastAsia="Calibri"/>
          <w:color w:val="000000"/>
          <w:sz w:val="22"/>
          <w:szCs w:val="22"/>
        </w:rPr>
      </w:pPr>
    </w:p>
    <w:p w:rsidR="00925917" w:rsidRPr="00D21644" w:rsidRDefault="00925917" w:rsidP="00925917">
      <w:pPr>
        <w:ind w:left="425"/>
        <w:rPr>
          <w:rFonts w:eastAsia="Calibri"/>
          <w:color w:val="000000"/>
          <w:sz w:val="22"/>
          <w:szCs w:val="22"/>
        </w:rPr>
      </w:pPr>
    </w:p>
    <w:p w:rsidR="00925917" w:rsidRPr="00D21644" w:rsidRDefault="00925917" w:rsidP="00925917">
      <w:pPr>
        <w:pStyle w:val="Prrafodelista"/>
        <w:ind w:left="502"/>
        <w:rPr>
          <w:rFonts w:ascii="GalanoGrotesque-Light" w:eastAsia="Calibri" w:hAnsi="GalanoGrotesque-Light" w:cstheme="minorBidi"/>
          <w:color w:val="000000"/>
          <w:sz w:val="22"/>
          <w:szCs w:val="22"/>
          <w:lang w:val="es-ES" w:eastAsia="en-US"/>
        </w:rPr>
      </w:pPr>
    </w:p>
    <w:p w:rsidR="00925917" w:rsidRPr="00D21644" w:rsidRDefault="00925917" w:rsidP="00925917">
      <w:pPr>
        <w:numPr>
          <w:ilvl w:val="0"/>
          <w:numId w:val="4"/>
        </w:numPr>
        <w:spacing w:before="0" w:after="0"/>
        <w:ind w:left="425"/>
        <w:rPr>
          <w:rFonts w:eastAsia="Calibri"/>
          <w:b/>
          <w:color w:val="000000"/>
          <w:sz w:val="22"/>
          <w:szCs w:val="22"/>
        </w:rPr>
      </w:pPr>
      <w:r w:rsidRPr="00D21644">
        <w:rPr>
          <w:rFonts w:eastAsia="Calibri"/>
          <w:b/>
          <w:color w:val="000000"/>
          <w:sz w:val="22"/>
          <w:szCs w:val="22"/>
        </w:rPr>
        <w:t xml:space="preserve">Crédito simple celebrado con Banco Nacional de Obras y Servicios Públicos, S.N.C., por </w:t>
      </w:r>
      <w:r>
        <w:rPr>
          <w:rFonts w:eastAsia="Calibri"/>
          <w:b/>
          <w:color w:val="000000"/>
          <w:sz w:val="22"/>
          <w:szCs w:val="22"/>
        </w:rPr>
        <w:t xml:space="preserve">hasta </w:t>
      </w:r>
      <w:r w:rsidRPr="00D21644">
        <w:rPr>
          <w:rFonts w:eastAsia="Calibri"/>
          <w:b/>
          <w:color w:val="000000"/>
          <w:sz w:val="22"/>
          <w:szCs w:val="22"/>
        </w:rPr>
        <w:t>$5</w:t>
      </w:r>
      <w:r>
        <w:rPr>
          <w:rFonts w:eastAsia="Calibri"/>
          <w:b/>
          <w:color w:val="000000"/>
          <w:sz w:val="22"/>
          <w:szCs w:val="22"/>
        </w:rPr>
        <w:t>81’682,655.00.</w:t>
      </w:r>
    </w:p>
    <w:p w:rsidR="00925917" w:rsidRPr="00D21644" w:rsidRDefault="00925917" w:rsidP="00925917">
      <w:pPr>
        <w:spacing w:before="0" w:after="0"/>
        <w:ind w:left="425"/>
        <w:rPr>
          <w:rFonts w:eastAsia="Calibri"/>
          <w:color w:val="000000"/>
          <w:sz w:val="22"/>
          <w:szCs w:val="22"/>
        </w:rPr>
      </w:pPr>
    </w:p>
    <w:p w:rsidR="00925917" w:rsidRPr="00D21644" w:rsidRDefault="00925917" w:rsidP="00925917">
      <w:pPr>
        <w:ind w:left="502"/>
        <w:rPr>
          <w:rFonts w:eastAsia="Calibri"/>
          <w:b/>
          <w:color w:val="000000"/>
          <w:sz w:val="22"/>
          <w:szCs w:val="22"/>
        </w:rPr>
      </w:pPr>
      <w:r w:rsidRPr="00D21644">
        <w:rPr>
          <w:rFonts w:eastAsia="Calibri"/>
          <w:color w:val="000000"/>
          <w:sz w:val="22"/>
          <w:szCs w:val="22"/>
        </w:rPr>
        <w:t xml:space="preserve">Crédito simple celebrado el </w:t>
      </w:r>
      <w:r>
        <w:rPr>
          <w:rFonts w:eastAsia="Calibri"/>
          <w:color w:val="000000"/>
          <w:sz w:val="22"/>
          <w:szCs w:val="22"/>
        </w:rPr>
        <w:t>24</w:t>
      </w:r>
      <w:r w:rsidRPr="00D21644">
        <w:rPr>
          <w:rFonts w:eastAsia="Calibri"/>
          <w:color w:val="000000"/>
          <w:sz w:val="22"/>
          <w:szCs w:val="22"/>
        </w:rPr>
        <w:t xml:space="preserve"> de </w:t>
      </w:r>
      <w:r>
        <w:rPr>
          <w:rFonts w:eastAsia="Calibri"/>
          <w:color w:val="000000"/>
          <w:sz w:val="22"/>
          <w:szCs w:val="22"/>
        </w:rPr>
        <w:t>abril</w:t>
      </w:r>
      <w:r w:rsidRPr="00D21644">
        <w:rPr>
          <w:rFonts w:eastAsia="Calibri"/>
          <w:color w:val="000000"/>
          <w:sz w:val="22"/>
          <w:szCs w:val="22"/>
        </w:rPr>
        <w:t xml:space="preserve"> de 20</w:t>
      </w:r>
      <w:r>
        <w:rPr>
          <w:rFonts w:eastAsia="Calibri"/>
          <w:color w:val="000000"/>
          <w:sz w:val="22"/>
          <w:szCs w:val="22"/>
        </w:rPr>
        <w:t>23</w:t>
      </w:r>
      <w:r w:rsidRPr="00D21644">
        <w:rPr>
          <w:rFonts w:eastAsia="Calibri"/>
          <w:color w:val="000000"/>
          <w:sz w:val="22"/>
          <w:szCs w:val="22"/>
        </w:rPr>
        <w:t>, por un importe de hasta $</w:t>
      </w:r>
      <w:r>
        <w:rPr>
          <w:rFonts w:eastAsia="Calibri"/>
          <w:color w:val="000000"/>
          <w:sz w:val="22"/>
          <w:szCs w:val="22"/>
        </w:rPr>
        <w:t>581’682,655.00</w:t>
      </w:r>
      <w:r w:rsidRPr="00D21644">
        <w:rPr>
          <w:rFonts w:eastAsia="Calibri"/>
          <w:color w:val="000000"/>
          <w:sz w:val="22"/>
          <w:szCs w:val="22"/>
        </w:rPr>
        <w:t xml:space="preserve"> </w:t>
      </w:r>
      <w:r w:rsidRPr="00D21644">
        <w:rPr>
          <w:rFonts w:eastAsia="Calibri"/>
          <w:sz w:val="22"/>
          <w:szCs w:val="22"/>
        </w:rPr>
        <w:t>(</w:t>
      </w:r>
      <w:r>
        <w:rPr>
          <w:rFonts w:eastAsia="Calibri"/>
          <w:sz w:val="22"/>
          <w:szCs w:val="22"/>
        </w:rPr>
        <w:t>quinientos ochenta y un millones seiscientos ochenta y dos mil seiscientos cincuenta y cinco pesos</w:t>
      </w:r>
      <w:r w:rsidRPr="00D21644">
        <w:rPr>
          <w:rFonts w:eastAsia="Calibri"/>
          <w:sz w:val="22"/>
          <w:szCs w:val="22"/>
        </w:rPr>
        <w:t xml:space="preserve">), </w:t>
      </w:r>
      <w:r w:rsidRPr="00D21644">
        <w:rPr>
          <w:rFonts w:eastAsia="Calibri"/>
          <w:color w:val="000000"/>
          <w:sz w:val="22"/>
          <w:szCs w:val="22"/>
        </w:rPr>
        <w:t xml:space="preserve">con una vigencia de hasta 240 meses, contados a partir de la fecha de la firma del contrato del crédito, pagadero mensualmente y causará una tasa de interés basada en Tasa de </w:t>
      </w:r>
      <w:r w:rsidRPr="00D21644">
        <w:rPr>
          <w:rFonts w:eastAsia="Calibri"/>
          <w:color w:val="000000"/>
          <w:sz w:val="22"/>
          <w:szCs w:val="22"/>
        </w:rPr>
        <w:lastRenderedPageBreak/>
        <w:t>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925917" w:rsidRPr="00D21644" w:rsidRDefault="00925917" w:rsidP="00925917">
      <w:pPr>
        <w:pStyle w:val="Prrafodelista"/>
        <w:ind w:left="502"/>
        <w:rPr>
          <w:rFonts w:ascii="GalanoGrotesque-Light" w:eastAsia="Calibri" w:hAnsi="GalanoGrotesque-Light" w:cstheme="minorBidi"/>
          <w:color w:val="000000"/>
          <w:sz w:val="22"/>
          <w:szCs w:val="22"/>
          <w:lang w:val="es-ES" w:eastAsia="en-US"/>
        </w:rPr>
      </w:pPr>
    </w:p>
    <w:p w:rsidR="00925917" w:rsidRDefault="00925917" w:rsidP="00925917">
      <w:pPr>
        <w:spacing w:before="0" w:after="0"/>
        <w:ind w:left="426"/>
        <w:rPr>
          <w:rFonts w:eastAsia="Calibri"/>
          <w:color w:val="000000"/>
          <w:sz w:val="22"/>
          <w:szCs w:val="22"/>
        </w:rPr>
      </w:pPr>
      <w:r w:rsidRPr="00D21644">
        <w:rPr>
          <w:rFonts w:eastAsia="Calibri"/>
          <w:color w:val="000000"/>
          <w:sz w:val="22"/>
          <w:szCs w:val="22"/>
        </w:rPr>
        <w:t>El crédito se destinó para el refinanciamiento de la Deuda Pública establecida en el Decreto 189, de fecha 18 de julio de 2022.</w:t>
      </w:r>
    </w:p>
    <w:p w:rsidR="00925917" w:rsidRPr="00D21644" w:rsidRDefault="00925917" w:rsidP="00925917">
      <w:pPr>
        <w:spacing w:before="0" w:after="0"/>
        <w:ind w:left="426"/>
        <w:rPr>
          <w:rFonts w:eastAsia="Calibri"/>
          <w:color w:val="000000"/>
          <w:sz w:val="22"/>
          <w:szCs w:val="22"/>
        </w:rPr>
      </w:pPr>
    </w:p>
    <w:p w:rsidR="00925917" w:rsidRPr="00D21644" w:rsidRDefault="00925917" w:rsidP="00925917">
      <w:pPr>
        <w:spacing w:before="0" w:after="0"/>
        <w:ind w:left="426"/>
        <w:rPr>
          <w:rFonts w:eastAsia="Calibri"/>
          <w:sz w:val="22"/>
          <w:szCs w:val="22"/>
        </w:rPr>
      </w:pPr>
      <w:r w:rsidRPr="00D21644">
        <w:rPr>
          <w:rFonts w:eastAsia="Calibri"/>
          <w:color w:val="000000"/>
          <w:sz w:val="22"/>
          <w:szCs w:val="22"/>
        </w:rPr>
        <w:t>El saldo 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diciembre</w:t>
      </w:r>
      <w:r w:rsidRPr="00D21644">
        <w:rPr>
          <w:rFonts w:eastAsia="Calibri"/>
          <w:color w:val="000000"/>
          <w:sz w:val="22"/>
          <w:szCs w:val="22"/>
        </w:rPr>
        <w:t xml:space="preserve"> de 2023</w:t>
      </w:r>
      <w:r w:rsidRPr="00D21644">
        <w:rPr>
          <w:rFonts w:eastAsia="Calibri"/>
          <w:color w:val="00B050"/>
          <w:sz w:val="22"/>
          <w:szCs w:val="22"/>
        </w:rPr>
        <w:t xml:space="preserve"> </w:t>
      </w:r>
      <w:r w:rsidRPr="00D21644">
        <w:rPr>
          <w:rFonts w:eastAsia="Calibri"/>
          <w:color w:val="000000"/>
          <w:sz w:val="22"/>
          <w:szCs w:val="22"/>
        </w:rPr>
        <w:t>asciende a $567’</w:t>
      </w:r>
      <w:r>
        <w:rPr>
          <w:rFonts w:eastAsia="Calibri"/>
          <w:color w:val="000000"/>
          <w:sz w:val="22"/>
          <w:szCs w:val="22"/>
        </w:rPr>
        <w:t>096</w:t>
      </w:r>
      <w:r w:rsidRPr="00D21644">
        <w:rPr>
          <w:rFonts w:eastAsia="Calibri"/>
          <w:color w:val="000000"/>
          <w:sz w:val="22"/>
          <w:szCs w:val="22"/>
        </w:rPr>
        <w:t>,</w:t>
      </w:r>
      <w:r>
        <w:rPr>
          <w:rFonts w:eastAsia="Calibri"/>
          <w:color w:val="000000"/>
          <w:sz w:val="22"/>
          <w:szCs w:val="22"/>
        </w:rPr>
        <w:t>959</w:t>
      </w:r>
      <w:r w:rsidRPr="00D21644">
        <w:rPr>
          <w:rFonts w:eastAsia="Calibri"/>
          <w:color w:val="000000"/>
          <w:sz w:val="22"/>
          <w:szCs w:val="22"/>
        </w:rPr>
        <w:t xml:space="preserve">.00 </w:t>
      </w:r>
      <w:r w:rsidRPr="00D21644">
        <w:rPr>
          <w:rFonts w:eastAsia="Calibri"/>
          <w:sz w:val="22"/>
          <w:szCs w:val="22"/>
        </w:rPr>
        <w:t xml:space="preserve">(quinientos sesenta y siete millones </w:t>
      </w:r>
      <w:r>
        <w:rPr>
          <w:rFonts w:eastAsia="Calibri"/>
          <w:sz w:val="22"/>
          <w:szCs w:val="22"/>
        </w:rPr>
        <w:t xml:space="preserve">noventa y seis </w:t>
      </w:r>
      <w:r w:rsidRPr="00D21644">
        <w:rPr>
          <w:rFonts w:eastAsia="Calibri"/>
          <w:sz w:val="22"/>
          <w:szCs w:val="22"/>
        </w:rPr>
        <w:t xml:space="preserve">mil </w:t>
      </w:r>
      <w:r>
        <w:rPr>
          <w:rFonts w:eastAsia="Calibri"/>
          <w:sz w:val="22"/>
          <w:szCs w:val="22"/>
        </w:rPr>
        <w:t xml:space="preserve">novecientos cincuenta y nueve </w:t>
      </w:r>
      <w:r w:rsidRPr="00D21644">
        <w:rPr>
          <w:rFonts w:eastAsia="Calibri"/>
          <w:sz w:val="22"/>
          <w:szCs w:val="22"/>
        </w:rPr>
        <w:t>pesos</w:t>
      </w:r>
      <w:r>
        <w:rPr>
          <w:rFonts w:eastAsia="Calibri"/>
          <w:sz w:val="22"/>
          <w:szCs w:val="22"/>
        </w:rPr>
        <w:t>)</w:t>
      </w:r>
      <w:r w:rsidRPr="00D21644">
        <w:rPr>
          <w:rFonts w:eastAsia="Calibri"/>
          <w:sz w:val="22"/>
          <w:szCs w:val="22"/>
        </w:rPr>
        <w:t>.</w:t>
      </w:r>
    </w:p>
    <w:p w:rsidR="00925917" w:rsidRPr="00D21644" w:rsidRDefault="00925917" w:rsidP="00925917">
      <w:pPr>
        <w:pStyle w:val="Prrafodelista"/>
        <w:ind w:left="502"/>
        <w:jc w:val="both"/>
        <w:rPr>
          <w:rFonts w:ascii="GalanoGrotesque-Light" w:eastAsia="Calibri" w:hAnsi="GalanoGrotesque-Light" w:cstheme="minorBidi"/>
          <w:color w:val="000000"/>
          <w:sz w:val="22"/>
          <w:szCs w:val="22"/>
          <w:lang w:val="es-ES" w:eastAsia="en-US"/>
        </w:rPr>
      </w:pPr>
    </w:p>
    <w:p w:rsidR="00925917" w:rsidRPr="00D21644" w:rsidRDefault="00925917" w:rsidP="00925917">
      <w:pPr>
        <w:pStyle w:val="Prrafodelista"/>
        <w:ind w:left="502"/>
        <w:jc w:val="both"/>
        <w:rPr>
          <w:rFonts w:ascii="GalanoGrotesque-Light" w:eastAsia="Calibri" w:hAnsi="GalanoGrotesque-Light" w:cstheme="minorBidi"/>
          <w:b/>
          <w:color w:val="000000"/>
          <w:sz w:val="22"/>
          <w:szCs w:val="22"/>
          <w:lang w:val="es-ES" w:eastAsia="en-US"/>
        </w:rPr>
      </w:pPr>
    </w:p>
    <w:p w:rsidR="00925917" w:rsidRPr="00D21644" w:rsidRDefault="00925917" w:rsidP="00925917">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Crédito Simple celebrado con Banco Mercantil del Norte, S.A., Institución de Banca Múltiple por $2,500’000,000</w:t>
      </w:r>
      <w:r>
        <w:rPr>
          <w:rFonts w:ascii="GalanoGrotesque-Light" w:eastAsia="Calibri" w:hAnsi="GalanoGrotesque-Light" w:cstheme="minorBidi"/>
          <w:b/>
          <w:color w:val="000000"/>
          <w:sz w:val="22"/>
          <w:szCs w:val="22"/>
          <w:lang w:val="es-ES" w:eastAsia="en-US"/>
        </w:rPr>
        <w:t xml:space="preserve"> (BANORTE 1)</w:t>
      </w:r>
      <w:r w:rsidRPr="00D21644">
        <w:rPr>
          <w:rFonts w:ascii="GalanoGrotesque-Light" w:eastAsia="Calibri" w:hAnsi="GalanoGrotesque-Light" w:cstheme="minorBidi"/>
          <w:b/>
          <w:color w:val="000000"/>
          <w:sz w:val="22"/>
          <w:szCs w:val="22"/>
          <w:lang w:val="es-ES" w:eastAsia="en-US"/>
        </w:rPr>
        <w:t xml:space="preserve">. </w:t>
      </w:r>
    </w:p>
    <w:p w:rsidR="00925917" w:rsidRPr="00D21644" w:rsidRDefault="00925917" w:rsidP="00925917">
      <w:pPr>
        <w:ind w:firstLine="142"/>
        <w:rPr>
          <w:rFonts w:eastAsia="Calibri"/>
          <w:color w:val="000000"/>
          <w:sz w:val="22"/>
          <w:szCs w:val="22"/>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Crédito simple celebrado el 1 de febrero de 2023, por un importe de hasta $2,500,000,000.00 (dos mil quinientos millones de pesos)con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925917" w:rsidRPr="00D21644" w:rsidRDefault="00925917" w:rsidP="00925917">
      <w:pPr>
        <w:ind w:left="502"/>
        <w:rPr>
          <w:rFonts w:eastAsia="Calibri"/>
          <w:color w:val="000000"/>
          <w:sz w:val="22"/>
          <w:szCs w:val="22"/>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El crédito se destinó para el refinanciamiento de la Deuda Pública establecida en el Decreto 189, de fecha 18 de julio de 2022.</w:t>
      </w:r>
    </w:p>
    <w:p w:rsidR="00925917" w:rsidRPr="00D21644" w:rsidRDefault="00925917" w:rsidP="00925917">
      <w:pPr>
        <w:ind w:left="502"/>
        <w:rPr>
          <w:rFonts w:eastAsia="Calibri"/>
          <w:color w:val="000000"/>
          <w:sz w:val="22"/>
          <w:szCs w:val="22"/>
        </w:rPr>
      </w:pPr>
    </w:p>
    <w:p w:rsidR="00925917" w:rsidRDefault="00925917" w:rsidP="00925917">
      <w:pPr>
        <w:ind w:left="502"/>
        <w:rPr>
          <w:rFonts w:eastAsia="Calibri"/>
          <w:color w:val="000000"/>
          <w:sz w:val="22"/>
          <w:szCs w:val="22"/>
        </w:rPr>
      </w:pPr>
      <w:r w:rsidRPr="00D21644">
        <w:rPr>
          <w:rFonts w:eastAsia="Calibri"/>
          <w:color w:val="000000"/>
          <w:sz w:val="22"/>
          <w:szCs w:val="22"/>
        </w:rPr>
        <w:t>El saldo 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diciembre</w:t>
      </w:r>
      <w:r w:rsidRPr="00D21644">
        <w:rPr>
          <w:rFonts w:eastAsia="Calibri"/>
          <w:color w:val="000000"/>
          <w:sz w:val="22"/>
          <w:szCs w:val="22"/>
        </w:rPr>
        <w:t xml:space="preserve"> de 2023, asciende a $2,49</w:t>
      </w:r>
      <w:r>
        <w:rPr>
          <w:rFonts w:eastAsia="Calibri"/>
          <w:color w:val="000000"/>
          <w:sz w:val="22"/>
          <w:szCs w:val="22"/>
        </w:rPr>
        <w:t>3</w:t>
      </w:r>
      <w:r w:rsidRPr="00D21644">
        <w:rPr>
          <w:rFonts w:eastAsia="Calibri"/>
          <w:color w:val="000000"/>
          <w:sz w:val="22"/>
          <w:szCs w:val="22"/>
        </w:rPr>
        <w:t>’</w:t>
      </w:r>
      <w:r>
        <w:rPr>
          <w:rFonts w:eastAsia="Calibri"/>
          <w:color w:val="000000"/>
          <w:sz w:val="22"/>
          <w:szCs w:val="22"/>
        </w:rPr>
        <w:t>236</w:t>
      </w:r>
      <w:r w:rsidRPr="00D21644">
        <w:rPr>
          <w:rFonts w:eastAsia="Calibri"/>
          <w:color w:val="000000"/>
          <w:sz w:val="22"/>
          <w:szCs w:val="22"/>
        </w:rPr>
        <w:t>,</w:t>
      </w:r>
      <w:r>
        <w:rPr>
          <w:rFonts w:eastAsia="Calibri"/>
          <w:color w:val="000000"/>
          <w:sz w:val="22"/>
          <w:szCs w:val="22"/>
        </w:rPr>
        <w:t>887</w:t>
      </w:r>
      <w:r w:rsidRPr="00D21644">
        <w:rPr>
          <w:rFonts w:eastAsia="Calibri"/>
          <w:color w:val="000000"/>
          <w:sz w:val="22"/>
          <w:szCs w:val="22"/>
        </w:rPr>
        <w:t xml:space="preserve">.00 (dos mil cuatrocientos noventa y </w:t>
      </w:r>
      <w:r>
        <w:rPr>
          <w:rFonts w:eastAsia="Calibri"/>
          <w:color w:val="000000"/>
          <w:sz w:val="22"/>
          <w:szCs w:val="22"/>
        </w:rPr>
        <w:t>tres</w:t>
      </w:r>
      <w:r w:rsidRPr="00D21644">
        <w:rPr>
          <w:rFonts w:eastAsia="Calibri"/>
          <w:color w:val="000000"/>
          <w:sz w:val="22"/>
          <w:szCs w:val="22"/>
        </w:rPr>
        <w:t xml:space="preserve"> millones </w:t>
      </w:r>
      <w:r>
        <w:rPr>
          <w:rFonts w:eastAsia="Calibri"/>
          <w:color w:val="000000"/>
          <w:sz w:val="22"/>
          <w:szCs w:val="22"/>
        </w:rPr>
        <w:t>doscientos treinta y seis  mil ochocientos ochenta y siete pesos).</w:t>
      </w:r>
    </w:p>
    <w:p w:rsidR="00925917" w:rsidRPr="00D21644" w:rsidRDefault="00925917" w:rsidP="00925917">
      <w:pPr>
        <w:ind w:left="502"/>
        <w:rPr>
          <w:rFonts w:eastAsia="Calibri"/>
          <w:color w:val="000000"/>
          <w:sz w:val="22"/>
          <w:szCs w:val="22"/>
        </w:rPr>
      </w:pPr>
    </w:p>
    <w:p w:rsidR="00925917" w:rsidRPr="00D21644" w:rsidRDefault="00925917" w:rsidP="00925917">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Crédito Simple celebrado con Banco Mercantil del Norte, S.A., Institución de Banca Múltiple por $2,500’000,000</w:t>
      </w:r>
      <w:r>
        <w:rPr>
          <w:rFonts w:ascii="GalanoGrotesque-Light" w:eastAsia="Calibri" w:hAnsi="GalanoGrotesque-Light" w:cstheme="minorBidi"/>
          <w:b/>
          <w:color w:val="000000"/>
          <w:sz w:val="22"/>
          <w:szCs w:val="22"/>
          <w:lang w:val="es-ES" w:eastAsia="en-US"/>
        </w:rPr>
        <w:t xml:space="preserve"> (BANORTE 2)</w:t>
      </w:r>
      <w:r w:rsidRPr="00D21644">
        <w:rPr>
          <w:rFonts w:ascii="GalanoGrotesque-Light" w:eastAsia="Calibri" w:hAnsi="GalanoGrotesque-Light" w:cstheme="minorBidi"/>
          <w:b/>
          <w:color w:val="000000"/>
          <w:sz w:val="22"/>
          <w:szCs w:val="22"/>
          <w:lang w:val="es-ES" w:eastAsia="en-US"/>
        </w:rPr>
        <w:t xml:space="preserve">. </w:t>
      </w:r>
    </w:p>
    <w:p w:rsidR="00925917" w:rsidRPr="00D21644" w:rsidRDefault="00925917" w:rsidP="00925917">
      <w:pPr>
        <w:pStyle w:val="Prrafodelista"/>
        <w:ind w:left="502"/>
        <w:jc w:val="both"/>
        <w:rPr>
          <w:rFonts w:ascii="GalanoGrotesque-Light" w:eastAsia="Calibri" w:hAnsi="GalanoGrotesque-Light" w:cstheme="minorBidi"/>
          <w:color w:val="000000"/>
          <w:sz w:val="22"/>
          <w:szCs w:val="22"/>
          <w:lang w:val="es-ES" w:eastAsia="en-US"/>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Crédito simple celebrado el 1 de febrero de 2023, por un importe de hasta $2,500,000,000.00 (dos mil quinientos millones de pesos)</w:t>
      </w:r>
      <w:r>
        <w:rPr>
          <w:rFonts w:eastAsia="Calibri"/>
          <w:color w:val="000000"/>
          <w:sz w:val="22"/>
          <w:szCs w:val="22"/>
        </w:rPr>
        <w:t xml:space="preserve"> </w:t>
      </w:r>
      <w:r w:rsidRPr="00D21644">
        <w:rPr>
          <w:rFonts w:eastAsia="Calibri"/>
          <w:color w:val="000000"/>
          <w:sz w:val="22"/>
          <w:szCs w:val="22"/>
        </w:rPr>
        <w:t>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925917" w:rsidRPr="00D21644" w:rsidRDefault="00925917" w:rsidP="00925917">
      <w:pPr>
        <w:pStyle w:val="Prrafodelista"/>
        <w:ind w:left="502"/>
        <w:jc w:val="both"/>
        <w:rPr>
          <w:rFonts w:ascii="GalanoGrotesque-Light" w:eastAsia="Calibri" w:hAnsi="GalanoGrotesque-Light" w:cstheme="minorBidi"/>
          <w:color w:val="000000"/>
          <w:sz w:val="22"/>
          <w:szCs w:val="22"/>
          <w:lang w:val="es-ES" w:eastAsia="en-US"/>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El crédito se destinó para el refinanciamiento de la Deuda Pública establecida en el Decreto 189, de fecha 18 de julio de 2022.</w:t>
      </w:r>
    </w:p>
    <w:p w:rsidR="00925917" w:rsidRPr="00D21644" w:rsidRDefault="00925917" w:rsidP="00925917">
      <w:pPr>
        <w:pStyle w:val="Prrafodelista"/>
        <w:ind w:left="502"/>
        <w:jc w:val="both"/>
        <w:rPr>
          <w:rFonts w:ascii="GalanoGrotesque-Light" w:eastAsia="Calibri" w:hAnsi="GalanoGrotesque-Light" w:cstheme="minorBidi"/>
          <w:color w:val="000000"/>
          <w:sz w:val="22"/>
          <w:szCs w:val="22"/>
          <w:lang w:val="es-ES" w:eastAsia="en-US"/>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El saldo 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diciembre</w:t>
      </w:r>
      <w:r w:rsidRPr="00D21644">
        <w:rPr>
          <w:rFonts w:eastAsia="Calibri"/>
          <w:color w:val="000000"/>
          <w:sz w:val="22"/>
          <w:szCs w:val="22"/>
        </w:rPr>
        <w:t xml:space="preserve"> 2023, asciende a $2,49</w:t>
      </w:r>
      <w:r>
        <w:rPr>
          <w:rFonts w:eastAsia="Calibri"/>
          <w:color w:val="000000"/>
          <w:sz w:val="22"/>
          <w:szCs w:val="22"/>
        </w:rPr>
        <w:t>0</w:t>
      </w:r>
      <w:r w:rsidRPr="00D21644">
        <w:rPr>
          <w:rFonts w:eastAsia="Calibri"/>
          <w:color w:val="000000"/>
          <w:sz w:val="22"/>
          <w:szCs w:val="22"/>
        </w:rPr>
        <w:t>’</w:t>
      </w:r>
      <w:r>
        <w:rPr>
          <w:rFonts w:eastAsia="Calibri"/>
          <w:color w:val="000000"/>
          <w:sz w:val="22"/>
          <w:szCs w:val="22"/>
        </w:rPr>
        <w:t>697</w:t>
      </w:r>
      <w:r w:rsidRPr="00D21644">
        <w:rPr>
          <w:rFonts w:eastAsia="Calibri"/>
          <w:color w:val="000000"/>
          <w:sz w:val="22"/>
          <w:szCs w:val="22"/>
        </w:rPr>
        <w:t>,</w:t>
      </w:r>
      <w:r>
        <w:rPr>
          <w:rFonts w:eastAsia="Calibri"/>
          <w:color w:val="000000"/>
          <w:sz w:val="22"/>
          <w:szCs w:val="22"/>
        </w:rPr>
        <w:t>612</w:t>
      </w:r>
      <w:r w:rsidRPr="00D21644">
        <w:rPr>
          <w:rFonts w:eastAsia="Calibri"/>
          <w:color w:val="000000"/>
          <w:sz w:val="22"/>
          <w:szCs w:val="22"/>
        </w:rPr>
        <w:t xml:space="preserve">.00 (dos mil cuatrocientos noventa millones </w:t>
      </w:r>
      <w:r>
        <w:rPr>
          <w:rFonts w:eastAsia="Calibri"/>
          <w:color w:val="000000"/>
          <w:sz w:val="22"/>
          <w:szCs w:val="22"/>
        </w:rPr>
        <w:t xml:space="preserve">seiscientos noventa y siete </w:t>
      </w:r>
      <w:r w:rsidRPr="00D21644">
        <w:rPr>
          <w:rFonts w:eastAsia="Calibri"/>
          <w:color w:val="000000"/>
          <w:sz w:val="22"/>
          <w:szCs w:val="22"/>
        </w:rPr>
        <w:t xml:space="preserve">mil </w:t>
      </w:r>
      <w:r>
        <w:rPr>
          <w:rFonts w:eastAsia="Calibri"/>
          <w:color w:val="000000"/>
          <w:sz w:val="22"/>
          <w:szCs w:val="22"/>
        </w:rPr>
        <w:t xml:space="preserve">seiscientos doce </w:t>
      </w:r>
      <w:r w:rsidRPr="00D21644">
        <w:rPr>
          <w:rFonts w:eastAsia="Calibri"/>
          <w:color w:val="000000"/>
          <w:sz w:val="22"/>
          <w:szCs w:val="22"/>
        </w:rPr>
        <w:t>pesos).</w:t>
      </w:r>
    </w:p>
    <w:p w:rsidR="00925917" w:rsidRPr="00D21644" w:rsidRDefault="00925917" w:rsidP="00925917">
      <w:pPr>
        <w:ind w:left="425"/>
        <w:rPr>
          <w:rFonts w:eastAsia="Calibri"/>
          <w:color w:val="000000"/>
          <w:sz w:val="22"/>
          <w:szCs w:val="22"/>
        </w:rPr>
      </w:pPr>
    </w:p>
    <w:p w:rsidR="00925917" w:rsidRPr="00D21644" w:rsidRDefault="00925917" w:rsidP="00925917">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Crédito Simple celebrado con Banco Mercantil del Norte, S.A., Institución de Banca Múltiple por $1,000’000,000</w:t>
      </w:r>
      <w:r>
        <w:rPr>
          <w:rFonts w:ascii="GalanoGrotesque-Light" w:eastAsia="Calibri" w:hAnsi="GalanoGrotesque-Light" w:cstheme="minorBidi"/>
          <w:b/>
          <w:color w:val="000000"/>
          <w:sz w:val="22"/>
          <w:szCs w:val="22"/>
          <w:lang w:val="es-ES" w:eastAsia="en-US"/>
        </w:rPr>
        <w:t xml:space="preserve"> (BANORTE 3)</w:t>
      </w:r>
      <w:r w:rsidRPr="00D21644">
        <w:rPr>
          <w:rFonts w:ascii="GalanoGrotesque-Light" w:eastAsia="Calibri" w:hAnsi="GalanoGrotesque-Light" w:cstheme="minorBidi"/>
          <w:b/>
          <w:color w:val="000000"/>
          <w:sz w:val="22"/>
          <w:szCs w:val="22"/>
          <w:lang w:val="es-ES" w:eastAsia="en-US"/>
        </w:rPr>
        <w:t xml:space="preserve">. </w:t>
      </w:r>
    </w:p>
    <w:p w:rsidR="00925917" w:rsidRPr="00D21644" w:rsidRDefault="00925917" w:rsidP="00925917">
      <w:pPr>
        <w:pStyle w:val="Prrafodelista"/>
        <w:ind w:left="502"/>
        <w:jc w:val="both"/>
        <w:rPr>
          <w:rFonts w:ascii="GalanoGrotesque-Light" w:eastAsia="Calibri" w:hAnsi="GalanoGrotesque-Light" w:cstheme="minorBidi"/>
          <w:b/>
          <w:color w:val="000000"/>
          <w:sz w:val="22"/>
          <w:szCs w:val="22"/>
          <w:lang w:val="es-ES" w:eastAsia="en-US"/>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Crédito simple celebrado el 1 de febrero de 2023, por un importe de hasta $1,000,000,000.00 (un mil millones de pesos)con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925917" w:rsidRPr="00D21644" w:rsidRDefault="00925917" w:rsidP="00925917">
      <w:pPr>
        <w:pStyle w:val="Prrafodelista"/>
        <w:ind w:left="502"/>
        <w:jc w:val="both"/>
        <w:rPr>
          <w:rFonts w:ascii="GalanoGrotesque-Light" w:eastAsia="Calibri" w:hAnsi="GalanoGrotesque-Light" w:cstheme="minorBidi"/>
          <w:color w:val="000000"/>
          <w:sz w:val="22"/>
          <w:szCs w:val="22"/>
          <w:lang w:val="es-ES" w:eastAsia="en-US"/>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El crédito se destinó para el refinanciamiento de la Deuda Pública establecida en el Decreto 189, de fecha 18 de julio de 2022.</w:t>
      </w:r>
    </w:p>
    <w:p w:rsidR="00925917" w:rsidRPr="00D21644" w:rsidRDefault="00925917" w:rsidP="00925917">
      <w:pPr>
        <w:pStyle w:val="Prrafodelista"/>
        <w:ind w:left="502"/>
        <w:jc w:val="both"/>
        <w:rPr>
          <w:rFonts w:ascii="GalanoGrotesque-Light" w:eastAsia="Calibri" w:hAnsi="GalanoGrotesque-Light" w:cstheme="minorBidi"/>
          <w:color w:val="000000"/>
          <w:sz w:val="22"/>
          <w:szCs w:val="22"/>
          <w:lang w:val="es-ES" w:eastAsia="en-US"/>
        </w:rPr>
      </w:pPr>
    </w:p>
    <w:p w:rsidR="00925917" w:rsidRDefault="00925917" w:rsidP="00925917">
      <w:pPr>
        <w:ind w:left="502"/>
        <w:rPr>
          <w:rFonts w:eastAsia="Calibri"/>
          <w:color w:val="000000"/>
          <w:sz w:val="22"/>
          <w:szCs w:val="22"/>
        </w:rPr>
      </w:pPr>
      <w:r w:rsidRPr="00D21644">
        <w:rPr>
          <w:rFonts w:eastAsia="Calibri"/>
          <w:color w:val="000000"/>
          <w:sz w:val="22"/>
          <w:szCs w:val="22"/>
        </w:rPr>
        <w:t>El saldo al 3</w:t>
      </w:r>
      <w:r>
        <w:rPr>
          <w:rFonts w:eastAsia="Calibri"/>
          <w:color w:val="000000"/>
          <w:sz w:val="22"/>
          <w:szCs w:val="22"/>
        </w:rPr>
        <w:t>1</w:t>
      </w:r>
      <w:r w:rsidRPr="00D21644">
        <w:rPr>
          <w:rFonts w:eastAsia="Calibri"/>
          <w:color w:val="000000"/>
          <w:sz w:val="22"/>
          <w:szCs w:val="22"/>
        </w:rPr>
        <w:t xml:space="preserve"> de </w:t>
      </w:r>
      <w:r>
        <w:rPr>
          <w:rFonts w:eastAsia="Calibri"/>
          <w:color w:val="000000"/>
          <w:sz w:val="22"/>
          <w:szCs w:val="22"/>
        </w:rPr>
        <w:t>diciembre</w:t>
      </w:r>
      <w:r w:rsidRPr="00D21644">
        <w:rPr>
          <w:rFonts w:eastAsia="Calibri"/>
          <w:color w:val="000000"/>
          <w:sz w:val="22"/>
          <w:szCs w:val="22"/>
        </w:rPr>
        <w:t xml:space="preserve"> de 2023, asciende a $99</w:t>
      </w:r>
      <w:r>
        <w:rPr>
          <w:rFonts w:eastAsia="Calibri"/>
          <w:color w:val="000000"/>
          <w:sz w:val="22"/>
          <w:szCs w:val="22"/>
        </w:rPr>
        <w:t>3</w:t>
      </w:r>
      <w:r w:rsidRPr="00D21644">
        <w:rPr>
          <w:rFonts w:eastAsia="Calibri"/>
          <w:color w:val="000000"/>
          <w:sz w:val="22"/>
          <w:szCs w:val="22"/>
        </w:rPr>
        <w:t>’</w:t>
      </w:r>
      <w:r>
        <w:rPr>
          <w:rFonts w:eastAsia="Calibri"/>
          <w:color w:val="000000"/>
          <w:sz w:val="22"/>
          <w:szCs w:val="22"/>
        </w:rPr>
        <w:t>324</w:t>
      </w:r>
      <w:r w:rsidRPr="00D21644">
        <w:rPr>
          <w:rFonts w:eastAsia="Calibri"/>
          <w:color w:val="000000"/>
          <w:sz w:val="22"/>
          <w:szCs w:val="22"/>
        </w:rPr>
        <w:t>,</w:t>
      </w:r>
      <w:r>
        <w:rPr>
          <w:rFonts w:eastAsia="Calibri"/>
          <w:color w:val="000000"/>
          <w:sz w:val="22"/>
          <w:szCs w:val="22"/>
        </w:rPr>
        <w:t>667</w:t>
      </w:r>
      <w:r w:rsidRPr="00D21644">
        <w:rPr>
          <w:rFonts w:eastAsia="Calibri"/>
          <w:color w:val="000000"/>
          <w:sz w:val="22"/>
          <w:szCs w:val="22"/>
        </w:rPr>
        <w:t xml:space="preserve">.00 (novecientos noventa y </w:t>
      </w:r>
      <w:r>
        <w:rPr>
          <w:rFonts w:eastAsia="Calibri"/>
          <w:color w:val="000000"/>
          <w:sz w:val="22"/>
          <w:szCs w:val="22"/>
        </w:rPr>
        <w:t>tres</w:t>
      </w:r>
      <w:r w:rsidRPr="00D21644">
        <w:rPr>
          <w:rFonts w:eastAsia="Calibri"/>
          <w:color w:val="000000"/>
          <w:sz w:val="22"/>
          <w:szCs w:val="22"/>
        </w:rPr>
        <w:t xml:space="preserve"> millones </w:t>
      </w:r>
      <w:r>
        <w:rPr>
          <w:rFonts w:eastAsia="Calibri"/>
          <w:color w:val="000000"/>
          <w:sz w:val="22"/>
          <w:szCs w:val="22"/>
        </w:rPr>
        <w:t xml:space="preserve">trescientos veinticuatro </w:t>
      </w:r>
      <w:r w:rsidRPr="00D21644">
        <w:rPr>
          <w:rFonts w:eastAsia="Calibri"/>
          <w:color w:val="000000"/>
          <w:sz w:val="22"/>
          <w:szCs w:val="22"/>
        </w:rPr>
        <w:t xml:space="preserve">mil </w:t>
      </w:r>
      <w:r>
        <w:rPr>
          <w:rFonts w:eastAsia="Calibri"/>
          <w:color w:val="000000"/>
          <w:sz w:val="22"/>
          <w:szCs w:val="22"/>
        </w:rPr>
        <w:t xml:space="preserve">seiscientos sesenta y siete </w:t>
      </w:r>
      <w:r w:rsidRPr="00D21644">
        <w:rPr>
          <w:rFonts w:eastAsia="Calibri"/>
          <w:color w:val="000000"/>
          <w:sz w:val="22"/>
          <w:szCs w:val="22"/>
        </w:rPr>
        <w:t>pesos).</w:t>
      </w:r>
    </w:p>
    <w:p w:rsidR="00925917" w:rsidRPr="00D967E1" w:rsidRDefault="00925917" w:rsidP="00925917">
      <w:pPr>
        <w:ind w:left="502"/>
        <w:rPr>
          <w:rFonts w:eastAsia="Calibri"/>
          <w:color w:val="000000"/>
          <w:sz w:val="22"/>
          <w:szCs w:val="22"/>
        </w:rPr>
      </w:pPr>
    </w:p>
    <w:p w:rsidR="00925917" w:rsidRPr="00D21644" w:rsidRDefault="00925917" w:rsidP="00925917">
      <w:pPr>
        <w:pStyle w:val="Prrafodelista"/>
        <w:ind w:left="502"/>
        <w:jc w:val="both"/>
        <w:rPr>
          <w:rFonts w:ascii="GalanoGrotesque-Light" w:eastAsia="Calibri" w:hAnsi="GalanoGrotesque-Light" w:cstheme="minorBidi"/>
          <w:b/>
          <w:color w:val="000000"/>
          <w:sz w:val="22"/>
          <w:szCs w:val="22"/>
          <w:lang w:val="es-ES" w:eastAsia="en-US"/>
        </w:rPr>
      </w:pPr>
    </w:p>
    <w:p w:rsidR="00925917" w:rsidRPr="00D21644" w:rsidRDefault="00925917" w:rsidP="00925917">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 xml:space="preserve">Crédito Simple celebrado con BBVA México, S.A., Institución de Banca Múltiple por $1’000’000,000. </w:t>
      </w:r>
    </w:p>
    <w:p w:rsidR="00925917" w:rsidRPr="00D21644" w:rsidRDefault="00925917" w:rsidP="00925917">
      <w:pPr>
        <w:pStyle w:val="Prrafodelista"/>
        <w:ind w:left="502"/>
        <w:rPr>
          <w:rFonts w:ascii="GalanoGrotesque-Light" w:eastAsia="Calibri" w:hAnsi="GalanoGrotesque-Light" w:cstheme="minorBidi"/>
          <w:color w:val="000000"/>
          <w:sz w:val="22"/>
          <w:szCs w:val="22"/>
          <w:lang w:val="es-ES" w:eastAsia="en-US"/>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Crédito simple celebrado el 1 de febrero de 2023, por un importe de hasta $1,000,000.00 (un mil millones de pesos)</w:t>
      </w:r>
      <w:r>
        <w:rPr>
          <w:rFonts w:eastAsia="Calibri"/>
          <w:color w:val="000000"/>
          <w:sz w:val="22"/>
          <w:szCs w:val="22"/>
        </w:rPr>
        <w:t xml:space="preserve"> </w:t>
      </w:r>
      <w:r w:rsidRPr="00D21644">
        <w:rPr>
          <w:rFonts w:eastAsia="Calibri"/>
          <w:color w:val="000000"/>
          <w:sz w:val="22"/>
          <w:szCs w:val="22"/>
        </w:rPr>
        <w:t>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925917" w:rsidRPr="00D21644" w:rsidRDefault="00925917" w:rsidP="00925917">
      <w:pPr>
        <w:pStyle w:val="Prrafodelista"/>
        <w:ind w:left="502"/>
        <w:rPr>
          <w:rFonts w:ascii="GalanoGrotesque-Light" w:eastAsia="Calibri" w:hAnsi="GalanoGrotesque-Light" w:cstheme="minorBidi"/>
          <w:color w:val="000000"/>
          <w:sz w:val="22"/>
          <w:szCs w:val="22"/>
          <w:lang w:val="es-ES" w:eastAsia="en-US"/>
        </w:rPr>
      </w:pPr>
    </w:p>
    <w:p w:rsidR="00925917" w:rsidRPr="00D21644" w:rsidRDefault="00925917" w:rsidP="00925917">
      <w:pPr>
        <w:ind w:left="502"/>
        <w:rPr>
          <w:rFonts w:eastAsia="Calibri"/>
          <w:color w:val="000000"/>
          <w:sz w:val="22"/>
          <w:szCs w:val="22"/>
        </w:rPr>
      </w:pPr>
      <w:r w:rsidRPr="00D21644">
        <w:rPr>
          <w:rFonts w:eastAsia="Calibri"/>
          <w:color w:val="000000"/>
          <w:sz w:val="22"/>
          <w:szCs w:val="22"/>
        </w:rPr>
        <w:t>El crédito se destinó para el refinanciamiento de la Deuda Pública establecida en el Decreto 189, de fecha 18 de julio de 2022.</w:t>
      </w:r>
    </w:p>
    <w:p w:rsidR="00925917" w:rsidRPr="00D21644" w:rsidRDefault="00925917" w:rsidP="00925917">
      <w:pPr>
        <w:pStyle w:val="Prrafodelista"/>
        <w:ind w:left="502"/>
        <w:rPr>
          <w:rFonts w:ascii="GalanoGrotesque-Light" w:eastAsia="Calibri" w:hAnsi="GalanoGrotesque-Light" w:cstheme="minorBidi"/>
          <w:color w:val="000000"/>
          <w:sz w:val="22"/>
          <w:szCs w:val="22"/>
          <w:lang w:val="es-ES" w:eastAsia="en-US"/>
        </w:rPr>
      </w:pPr>
    </w:p>
    <w:p w:rsidR="00925917" w:rsidRDefault="00925917" w:rsidP="00925917">
      <w:pPr>
        <w:ind w:left="425"/>
        <w:rPr>
          <w:rFonts w:eastAsia="Calibri"/>
          <w:color w:val="000000"/>
          <w:sz w:val="22"/>
          <w:szCs w:val="22"/>
        </w:rPr>
      </w:pPr>
      <w:r w:rsidRPr="00D21644">
        <w:rPr>
          <w:rFonts w:eastAsia="Calibri"/>
          <w:color w:val="000000"/>
          <w:sz w:val="22"/>
          <w:szCs w:val="22"/>
        </w:rPr>
        <w:t>El saldo al 3</w:t>
      </w:r>
      <w:r>
        <w:rPr>
          <w:rFonts w:eastAsia="Calibri"/>
          <w:color w:val="000000"/>
          <w:sz w:val="22"/>
          <w:szCs w:val="22"/>
        </w:rPr>
        <w:t xml:space="preserve">1 de diciembre </w:t>
      </w:r>
      <w:r w:rsidRPr="00D21644">
        <w:rPr>
          <w:rFonts w:eastAsia="Calibri"/>
          <w:color w:val="000000"/>
          <w:sz w:val="22"/>
          <w:szCs w:val="22"/>
        </w:rPr>
        <w:t>de 2023, asciende a $99</w:t>
      </w:r>
      <w:r>
        <w:rPr>
          <w:rFonts w:eastAsia="Calibri"/>
          <w:color w:val="000000"/>
          <w:sz w:val="22"/>
          <w:szCs w:val="22"/>
        </w:rPr>
        <w:t>6</w:t>
      </w:r>
      <w:r w:rsidRPr="00D21644">
        <w:rPr>
          <w:rFonts w:eastAsia="Calibri"/>
          <w:color w:val="000000"/>
          <w:sz w:val="22"/>
          <w:szCs w:val="22"/>
        </w:rPr>
        <w:t>,</w:t>
      </w:r>
      <w:r>
        <w:rPr>
          <w:rFonts w:eastAsia="Calibri"/>
          <w:color w:val="000000"/>
          <w:sz w:val="22"/>
          <w:szCs w:val="22"/>
        </w:rPr>
        <w:t xml:space="preserve"> 638,748.00</w:t>
      </w:r>
      <w:r w:rsidRPr="00D21644">
        <w:rPr>
          <w:rFonts w:eastAsia="Calibri"/>
          <w:color w:val="000000"/>
          <w:sz w:val="22"/>
          <w:szCs w:val="22"/>
        </w:rPr>
        <w:t xml:space="preserve"> (novecientos noventa y s</w:t>
      </w:r>
      <w:r>
        <w:rPr>
          <w:rFonts w:eastAsia="Calibri"/>
          <w:color w:val="000000"/>
          <w:sz w:val="22"/>
          <w:szCs w:val="22"/>
        </w:rPr>
        <w:t>eis</w:t>
      </w:r>
      <w:r w:rsidRPr="00D21644">
        <w:rPr>
          <w:rFonts w:eastAsia="Calibri"/>
          <w:color w:val="000000"/>
          <w:sz w:val="22"/>
          <w:szCs w:val="22"/>
        </w:rPr>
        <w:t xml:space="preserve"> millones </w:t>
      </w:r>
      <w:r>
        <w:rPr>
          <w:rFonts w:eastAsia="Calibri"/>
          <w:color w:val="000000"/>
          <w:sz w:val="22"/>
          <w:szCs w:val="22"/>
        </w:rPr>
        <w:t>seiscientos treinta y ocho mil setecientos cuarenta y ocho</w:t>
      </w:r>
      <w:r w:rsidRPr="00D21644">
        <w:rPr>
          <w:rFonts w:eastAsia="Calibri"/>
          <w:color w:val="000000"/>
          <w:sz w:val="22"/>
          <w:szCs w:val="22"/>
        </w:rPr>
        <w:t xml:space="preserve"> pesos).</w:t>
      </w:r>
    </w:p>
    <w:p w:rsidR="00925917" w:rsidRDefault="00925917" w:rsidP="00925917">
      <w:pPr>
        <w:ind w:left="425"/>
        <w:rPr>
          <w:rFonts w:eastAsia="Calibri"/>
          <w:color w:val="000000"/>
          <w:sz w:val="22"/>
          <w:szCs w:val="22"/>
        </w:rPr>
      </w:pPr>
    </w:p>
    <w:p w:rsidR="00925917" w:rsidRDefault="00925917" w:rsidP="00925917">
      <w:pPr>
        <w:ind w:left="425"/>
        <w:rPr>
          <w:rFonts w:eastAsia="Calibri"/>
          <w:color w:val="000000"/>
          <w:sz w:val="22"/>
          <w:szCs w:val="22"/>
        </w:rPr>
      </w:pPr>
    </w:p>
    <w:p w:rsidR="00925917" w:rsidRDefault="00925917" w:rsidP="00925917">
      <w:pPr>
        <w:ind w:left="425"/>
        <w:rPr>
          <w:rFonts w:eastAsia="Calibri"/>
          <w:color w:val="000000"/>
          <w:sz w:val="22"/>
          <w:szCs w:val="22"/>
        </w:rPr>
      </w:pPr>
    </w:p>
    <w:p w:rsidR="00925917" w:rsidRDefault="00925917" w:rsidP="00925917">
      <w:pPr>
        <w:ind w:left="425"/>
        <w:rPr>
          <w:rFonts w:eastAsia="Calibri"/>
          <w:color w:val="000000"/>
          <w:sz w:val="22"/>
          <w:szCs w:val="22"/>
        </w:rPr>
      </w:pPr>
    </w:p>
    <w:p w:rsidR="00925917" w:rsidRPr="00B64FE3" w:rsidRDefault="00925917" w:rsidP="00925917">
      <w:pPr>
        <w:pStyle w:val="Prrafodelista"/>
        <w:numPr>
          <w:ilvl w:val="0"/>
          <w:numId w:val="4"/>
        </w:numPr>
        <w:ind w:left="502"/>
        <w:rPr>
          <w:rFonts w:eastAsia="Calibri"/>
          <w:color w:val="000000"/>
          <w:sz w:val="22"/>
          <w:szCs w:val="22"/>
        </w:rPr>
      </w:pPr>
      <w:r w:rsidRPr="00B64FE3">
        <w:rPr>
          <w:rFonts w:eastAsia="Calibri"/>
          <w:b/>
          <w:color w:val="000000"/>
          <w:sz w:val="22"/>
          <w:szCs w:val="22"/>
        </w:rPr>
        <w:lastRenderedPageBreak/>
        <w:t xml:space="preserve"> </w:t>
      </w:r>
      <w:r w:rsidRPr="00A23D28">
        <w:rPr>
          <w:rFonts w:ascii="GalanoGrotesque-Light" w:eastAsia="Calibri" w:hAnsi="GalanoGrotesque-Light" w:cstheme="minorBidi"/>
          <w:b/>
          <w:color w:val="000000"/>
          <w:sz w:val="22"/>
          <w:szCs w:val="22"/>
          <w:lang w:val="es-ES" w:eastAsia="en-US"/>
        </w:rPr>
        <w:t>Deuda Pública de Corto Plazo Quirografaria (Obligaciones).</w:t>
      </w:r>
    </w:p>
    <w:p w:rsidR="00925917" w:rsidRPr="00D21644" w:rsidRDefault="00925917" w:rsidP="00925917">
      <w:pPr>
        <w:spacing w:before="0" w:after="0"/>
        <w:jc w:val="center"/>
        <w:rPr>
          <w:rFonts w:eastAsia="Calibri"/>
          <w:sz w:val="22"/>
          <w:szCs w:val="22"/>
        </w:rPr>
      </w:pPr>
    </w:p>
    <w:p w:rsidR="00925917" w:rsidRDefault="00925917" w:rsidP="00925917">
      <w:pPr>
        <w:spacing w:before="0" w:after="0"/>
        <w:jc w:val="center"/>
        <w:rPr>
          <w:rFonts w:eastAsia="Calibri"/>
          <w:sz w:val="22"/>
          <w:szCs w:val="22"/>
        </w:rPr>
      </w:pPr>
      <w:r w:rsidRPr="00716AAA">
        <w:rPr>
          <w:noProof/>
          <w:lang w:val="es-MX" w:eastAsia="es-MX"/>
        </w:rPr>
        <w:drawing>
          <wp:inline distT="0" distB="0" distL="0" distR="0" wp14:anchorId="2E3EFE6E" wp14:editId="41B39847">
            <wp:extent cx="6146359" cy="152654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4656" cy="1528601"/>
                    </a:xfrm>
                    <a:prstGeom prst="rect">
                      <a:avLst/>
                    </a:prstGeom>
                    <a:noFill/>
                    <a:ln>
                      <a:noFill/>
                    </a:ln>
                  </pic:spPr>
                </pic:pic>
              </a:graphicData>
            </a:graphic>
          </wp:inline>
        </w:drawing>
      </w:r>
    </w:p>
    <w:p w:rsidR="00925917" w:rsidRDefault="00925917" w:rsidP="00925917">
      <w:pPr>
        <w:spacing w:before="0" w:after="0"/>
        <w:rPr>
          <w:rFonts w:eastAsia="Calibri"/>
          <w:sz w:val="22"/>
          <w:szCs w:val="22"/>
        </w:rPr>
      </w:pPr>
    </w:p>
    <w:p w:rsidR="00925917" w:rsidRPr="00D21644" w:rsidRDefault="00925917" w:rsidP="00925917">
      <w:pPr>
        <w:spacing w:before="0" w:after="0"/>
        <w:rPr>
          <w:rFonts w:eastAsia="Calibri"/>
          <w:sz w:val="22"/>
          <w:szCs w:val="22"/>
        </w:rPr>
      </w:pPr>
    </w:p>
    <w:p w:rsidR="00925917" w:rsidRPr="00D21644" w:rsidRDefault="00925917" w:rsidP="00925917">
      <w:pPr>
        <w:pStyle w:val="Prrafodelista"/>
        <w:numPr>
          <w:ilvl w:val="0"/>
          <w:numId w:val="2"/>
        </w:numPr>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 xml:space="preserve">Información del destino del Fondo de Aportaciones para el Fortalecimiento de las Entidades Federativas (FAFEF), al Saneamiento de la Deuda. </w:t>
      </w:r>
    </w:p>
    <w:p w:rsidR="00925917" w:rsidRDefault="00925917" w:rsidP="00925917">
      <w:pPr>
        <w:spacing w:before="0" w:after="0"/>
        <w:rPr>
          <w:noProof/>
          <w:lang w:val="es-MX" w:eastAsia="es-MX"/>
        </w:rPr>
      </w:pPr>
    </w:p>
    <w:tbl>
      <w:tblPr>
        <w:tblW w:w="6254" w:type="dxa"/>
        <w:jc w:val="center"/>
        <w:tblCellMar>
          <w:left w:w="70" w:type="dxa"/>
          <w:right w:w="70" w:type="dxa"/>
        </w:tblCellMar>
        <w:tblLook w:val="04A0" w:firstRow="1" w:lastRow="0" w:firstColumn="1" w:lastColumn="0" w:noHBand="0" w:noVBand="1"/>
      </w:tblPr>
      <w:tblGrid>
        <w:gridCol w:w="4050"/>
        <w:gridCol w:w="2204"/>
      </w:tblGrid>
      <w:tr w:rsidR="00925917" w:rsidRPr="00D21644" w:rsidTr="006658FA">
        <w:trPr>
          <w:trHeight w:val="1143"/>
          <w:jc w:val="center"/>
        </w:trPr>
        <w:tc>
          <w:tcPr>
            <w:tcW w:w="6254" w:type="dxa"/>
            <w:gridSpan w:val="2"/>
            <w:tcBorders>
              <w:top w:val="nil"/>
              <w:left w:val="nil"/>
              <w:bottom w:val="nil"/>
              <w:right w:val="nil"/>
            </w:tcBorders>
            <w:shd w:val="clear" w:color="auto" w:fill="auto"/>
            <w:vAlign w:val="bottom"/>
            <w:hideMark/>
          </w:tcPr>
          <w:p w:rsidR="00925917" w:rsidRPr="00D21644" w:rsidRDefault="00925917" w:rsidP="006658FA">
            <w:pPr>
              <w:spacing w:before="0" w:after="0" w:line="240" w:lineRule="auto"/>
              <w:jc w:val="center"/>
              <w:rPr>
                <w:rFonts w:eastAsia="Times New Roman" w:cs="Calibri"/>
                <w:color w:val="000000"/>
                <w:sz w:val="22"/>
                <w:szCs w:val="22"/>
                <w:lang w:val="es-MX" w:eastAsia="es-MX"/>
              </w:rPr>
            </w:pPr>
            <w:r w:rsidRPr="00D21644">
              <w:rPr>
                <w:rFonts w:eastAsia="Times New Roman" w:cs="Calibri"/>
                <w:color w:val="000000"/>
                <w:sz w:val="22"/>
                <w:szCs w:val="22"/>
                <w:lang w:val="es-MX" w:eastAsia="es-MX"/>
              </w:rPr>
              <w:t xml:space="preserve">Destino FAFEF al </w:t>
            </w:r>
            <w:r>
              <w:rPr>
                <w:rFonts w:eastAsia="Times New Roman" w:cs="Calibri"/>
                <w:color w:val="000000"/>
                <w:sz w:val="22"/>
                <w:szCs w:val="22"/>
                <w:lang w:val="es-MX" w:eastAsia="es-MX"/>
              </w:rPr>
              <w:t xml:space="preserve">cierre del ejercicio fiscal </w:t>
            </w:r>
            <w:r w:rsidRPr="00D21644">
              <w:rPr>
                <w:rFonts w:eastAsia="Times New Roman" w:cs="Calibri"/>
                <w:color w:val="000000"/>
                <w:sz w:val="22"/>
                <w:szCs w:val="22"/>
                <w:lang w:val="es-MX" w:eastAsia="es-MX"/>
              </w:rPr>
              <w:t>2023 al saneamiento financiero, conforme el artículo 47 fracción II de la Ley de Coordinación Fiscal</w:t>
            </w:r>
            <w:r>
              <w:rPr>
                <w:rFonts w:eastAsia="Times New Roman" w:cs="Calibri"/>
                <w:color w:val="000000"/>
                <w:sz w:val="22"/>
                <w:szCs w:val="22"/>
                <w:lang w:val="es-MX" w:eastAsia="es-MX"/>
              </w:rPr>
              <w:t>.</w:t>
            </w:r>
          </w:p>
        </w:tc>
      </w:tr>
      <w:tr w:rsidR="00925917" w:rsidRPr="00D21644" w:rsidTr="006658FA">
        <w:trPr>
          <w:trHeight w:val="296"/>
          <w:jc w:val="center"/>
        </w:trPr>
        <w:tc>
          <w:tcPr>
            <w:tcW w:w="4050" w:type="dxa"/>
            <w:tcBorders>
              <w:top w:val="nil"/>
              <w:left w:val="nil"/>
              <w:bottom w:val="nil"/>
              <w:right w:val="nil"/>
            </w:tcBorders>
            <w:shd w:val="clear" w:color="auto" w:fill="auto"/>
            <w:noWrap/>
            <w:vAlign w:val="bottom"/>
            <w:hideMark/>
          </w:tcPr>
          <w:p w:rsidR="00925917" w:rsidRPr="00D21644" w:rsidRDefault="00925917" w:rsidP="006658FA">
            <w:pPr>
              <w:spacing w:before="0" w:after="0" w:line="240" w:lineRule="auto"/>
              <w:jc w:val="center"/>
              <w:rPr>
                <w:rFonts w:eastAsia="Times New Roman" w:cs="Calibri"/>
                <w:color w:val="000000"/>
                <w:sz w:val="22"/>
                <w:szCs w:val="22"/>
                <w:lang w:val="es-MX" w:eastAsia="es-MX"/>
              </w:rPr>
            </w:pPr>
          </w:p>
        </w:tc>
        <w:tc>
          <w:tcPr>
            <w:tcW w:w="2204" w:type="dxa"/>
            <w:tcBorders>
              <w:top w:val="nil"/>
              <w:left w:val="nil"/>
              <w:bottom w:val="nil"/>
              <w:right w:val="nil"/>
            </w:tcBorders>
            <w:shd w:val="clear" w:color="auto" w:fill="auto"/>
            <w:noWrap/>
            <w:vAlign w:val="bottom"/>
            <w:hideMark/>
          </w:tcPr>
          <w:p w:rsidR="00925917" w:rsidRPr="00D21644" w:rsidRDefault="00925917" w:rsidP="006658FA">
            <w:pPr>
              <w:spacing w:before="0" w:after="0" w:line="240" w:lineRule="auto"/>
              <w:jc w:val="left"/>
              <w:rPr>
                <w:rFonts w:eastAsia="Times New Roman" w:cs="Times New Roman"/>
                <w:sz w:val="22"/>
                <w:szCs w:val="22"/>
                <w:lang w:val="es-MX" w:eastAsia="es-MX"/>
              </w:rPr>
            </w:pPr>
          </w:p>
        </w:tc>
      </w:tr>
      <w:tr w:rsidR="00925917" w:rsidRPr="00D21644" w:rsidTr="006658FA">
        <w:trPr>
          <w:trHeight w:val="296"/>
          <w:jc w:val="center"/>
        </w:trPr>
        <w:tc>
          <w:tcPr>
            <w:tcW w:w="40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25917" w:rsidRPr="00D21644" w:rsidRDefault="00925917" w:rsidP="006658FA">
            <w:pPr>
              <w:spacing w:before="0" w:after="0" w:line="240" w:lineRule="auto"/>
              <w:jc w:val="center"/>
              <w:rPr>
                <w:rFonts w:eastAsia="Times New Roman" w:cs="Calibri"/>
                <w:b/>
                <w:bCs/>
                <w:color w:val="000000"/>
                <w:sz w:val="22"/>
                <w:szCs w:val="22"/>
                <w:lang w:val="es-MX" w:eastAsia="es-MX"/>
              </w:rPr>
            </w:pPr>
            <w:r w:rsidRPr="00D21644">
              <w:rPr>
                <w:rFonts w:eastAsia="Times New Roman" w:cs="Calibri"/>
                <w:b/>
                <w:bCs/>
                <w:color w:val="000000"/>
                <w:sz w:val="22"/>
                <w:szCs w:val="22"/>
                <w:lang w:val="es-MX" w:eastAsia="es-MX"/>
              </w:rPr>
              <w:t>Concepto/Destino</w:t>
            </w:r>
          </w:p>
        </w:tc>
        <w:tc>
          <w:tcPr>
            <w:tcW w:w="2204" w:type="dxa"/>
            <w:tcBorders>
              <w:top w:val="single" w:sz="4" w:space="0" w:color="auto"/>
              <w:left w:val="nil"/>
              <w:bottom w:val="single" w:sz="4" w:space="0" w:color="auto"/>
              <w:right w:val="single" w:sz="4" w:space="0" w:color="auto"/>
            </w:tcBorders>
            <w:shd w:val="clear" w:color="000000" w:fill="D9D9D9"/>
            <w:noWrap/>
            <w:vAlign w:val="bottom"/>
            <w:hideMark/>
          </w:tcPr>
          <w:p w:rsidR="00925917" w:rsidRPr="00D21644" w:rsidRDefault="00925917" w:rsidP="006658FA">
            <w:pPr>
              <w:spacing w:before="0" w:after="0" w:line="240" w:lineRule="auto"/>
              <w:jc w:val="center"/>
              <w:rPr>
                <w:rFonts w:eastAsia="Times New Roman" w:cs="Calibri"/>
                <w:b/>
                <w:bCs/>
                <w:color w:val="000000"/>
                <w:sz w:val="22"/>
                <w:szCs w:val="22"/>
                <w:lang w:val="es-MX" w:eastAsia="es-MX"/>
              </w:rPr>
            </w:pPr>
            <w:r w:rsidRPr="00D21644">
              <w:rPr>
                <w:rFonts w:eastAsia="Times New Roman" w:cs="Calibri"/>
                <w:b/>
                <w:bCs/>
                <w:color w:val="000000"/>
                <w:sz w:val="22"/>
                <w:szCs w:val="22"/>
                <w:lang w:val="es-MX" w:eastAsia="es-MX"/>
              </w:rPr>
              <w:t>Monto</w:t>
            </w:r>
          </w:p>
        </w:tc>
      </w:tr>
      <w:tr w:rsidR="00925917" w:rsidRPr="00D21644" w:rsidTr="006658FA">
        <w:trPr>
          <w:trHeight w:val="296"/>
          <w:jc w:val="center"/>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925917" w:rsidRPr="00D21644" w:rsidRDefault="00925917" w:rsidP="006658FA">
            <w:pPr>
              <w:spacing w:before="0" w:after="0" w:line="240" w:lineRule="auto"/>
              <w:jc w:val="left"/>
              <w:rPr>
                <w:rFonts w:eastAsia="Times New Roman" w:cs="Calibri"/>
                <w:color w:val="000000"/>
                <w:sz w:val="22"/>
                <w:szCs w:val="22"/>
                <w:lang w:val="es-MX" w:eastAsia="es-MX"/>
              </w:rPr>
            </w:pPr>
            <w:r w:rsidRPr="00D21644">
              <w:rPr>
                <w:rFonts w:eastAsia="Times New Roman" w:cs="Calibri"/>
                <w:color w:val="000000"/>
                <w:sz w:val="22"/>
                <w:szCs w:val="22"/>
                <w:lang w:val="es-MX" w:eastAsia="es-MX"/>
              </w:rPr>
              <w:t>Amortización de la Deuda Pública</w:t>
            </w:r>
          </w:p>
        </w:tc>
        <w:tc>
          <w:tcPr>
            <w:tcW w:w="2204"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spacing w:before="0" w:after="0" w:line="240" w:lineRule="auto"/>
              <w:jc w:val="left"/>
              <w:rPr>
                <w:rFonts w:eastAsia="Times New Roman" w:cs="Calibri"/>
                <w:color w:val="000000"/>
                <w:sz w:val="22"/>
                <w:szCs w:val="22"/>
                <w:lang w:val="es-MX" w:eastAsia="es-MX"/>
              </w:rPr>
            </w:pPr>
            <w:r w:rsidRPr="00D21644">
              <w:rPr>
                <w:rFonts w:eastAsia="Times New Roman" w:cs="Calibri"/>
                <w:color w:val="000000"/>
                <w:sz w:val="22"/>
                <w:szCs w:val="22"/>
                <w:lang w:val="es-MX" w:eastAsia="es-MX"/>
              </w:rPr>
              <w:t xml:space="preserve">          </w:t>
            </w:r>
            <w:r>
              <w:rPr>
                <w:rFonts w:eastAsia="Times New Roman" w:cs="Calibri"/>
                <w:color w:val="000000"/>
                <w:sz w:val="22"/>
                <w:szCs w:val="22"/>
                <w:lang w:val="es-MX" w:eastAsia="es-MX"/>
              </w:rPr>
              <w:t>183,658,247</w:t>
            </w:r>
          </w:p>
        </w:tc>
      </w:tr>
      <w:tr w:rsidR="00925917" w:rsidRPr="00D21644" w:rsidTr="006658FA">
        <w:trPr>
          <w:trHeight w:val="296"/>
          <w:jc w:val="center"/>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925917" w:rsidRPr="00D21644" w:rsidRDefault="00925917" w:rsidP="006658FA">
            <w:pPr>
              <w:spacing w:before="0" w:after="0" w:line="240" w:lineRule="auto"/>
              <w:jc w:val="left"/>
              <w:rPr>
                <w:rFonts w:eastAsia="Times New Roman" w:cs="Calibri"/>
                <w:color w:val="000000"/>
                <w:sz w:val="22"/>
                <w:szCs w:val="22"/>
                <w:lang w:val="es-MX" w:eastAsia="es-MX"/>
              </w:rPr>
            </w:pPr>
            <w:r w:rsidRPr="00D21644">
              <w:rPr>
                <w:rFonts w:eastAsia="Times New Roman" w:cs="Calibri"/>
                <w:color w:val="000000"/>
                <w:sz w:val="22"/>
                <w:szCs w:val="22"/>
                <w:lang w:val="es-MX" w:eastAsia="es-MX"/>
              </w:rPr>
              <w:t>Intereses de la Deuda Pública</w:t>
            </w:r>
          </w:p>
        </w:tc>
        <w:tc>
          <w:tcPr>
            <w:tcW w:w="2204"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spacing w:before="0" w:after="0" w:line="240" w:lineRule="auto"/>
              <w:jc w:val="left"/>
              <w:rPr>
                <w:rFonts w:eastAsia="Times New Roman" w:cs="Calibri"/>
                <w:color w:val="000000"/>
                <w:sz w:val="22"/>
                <w:szCs w:val="22"/>
                <w:lang w:val="es-MX" w:eastAsia="es-MX"/>
              </w:rPr>
            </w:pPr>
            <w:r>
              <w:rPr>
                <w:rFonts w:eastAsia="Times New Roman" w:cs="Calibri"/>
                <w:color w:val="000000"/>
                <w:sz w:val="22"/>
                <w:szCs w:val="22"/>
                <w:lang w:val="es-MX" w:eastAsia="es-MX"/>
              </w:rPr>
              <w:t xml:space="preserve">       2,185,365,903</w:t>
            </w:r>
          </w:p>
        </w:tc>
      </w:tr>
      <w:tr w:rsidR="00925917" w:rsidRPr="00D21644" w:rsidTr="006658FA">
        <w:trPr>
          <w:trHeight w:val="296"/>
          <w:jc w:val="center"/>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925917" w:rsidRPr="00D21644" w:rsidRDefault="00925917" w:rsidP="006658FA">
            <w:pPr>
              <w:spacing w:before="0" w:after="0" w:line="240" w:lineRule="auto"/>
              <w:jc w:val="left"/>
              <w:rPr>
                <w:rFonts w:eastAsia="Times New Roman" w:cs="Calibri"/>
                <w:b/>
                <w:bCs/>
                <w:color w:val="000000"/>
                <w:sz w:val="22"/>
                <w:szCs w:val="22"/>
                <w:lang w:val="es-MX" w:eastAsia="es-MX"/>
              </w:rPr>
            </w:pPr>
            <w:r w:rsidRPr="00D21644">
              <w:rPr>
                <w:rFonts w:eastAsia="Times New Roman" w:cs="Calibri"/>
                <w:b/>
                <w:bCs/>
                <w:color w:val="000000"/>
                <w:sz w:val="22"/>
                <w:szCs w:val="22"/>
                <w:lang w:val="es-MX" w:eastAsia="es-MX"/>
              </w:rPr>
              <w:t>Total</w:t>
            </w:r>
          </w:p>
        </w:tc>
        <w:tc>
          <w:tcPr>
            <w:tcW w:w="2204"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spacing w:before="0" w:after="0" w:line="240" w:lineRule="auto"/>
              <w:jc w:val="left"/>
              <w:rPr>
                <w:rFonts w:eastAsia="Times New Roman" w:cs="Calibri"/>
                <w:b/>
                <w:bCs/>
                <w:color w:val="000000"/>
                <w:sz w:val="22"/>
                <w:szCs w:val="22"/>
                <w:lang w:val="es-MX" w:eastAsia="es-MX"/>
              </w:rPr>
            </w:pPr>
            <w:r w:rsidRPr="00D21644">
              <w:rPr>
                <w:rFonts w:eastAsia="Times New Roman" w:cs="Calibri"/>
                <w:b/>
                <w:bCs/>
                <w:color w:val="000000"/>
                <w:sz w:val="22"/>
                <w:szCs w:val="22"/>
                <w:lang w:val="es-MX" w:eastAsia="es-MX"/>
              </w:rPr>
              <w:t xml:space="preserve">       </w:t>
            </w:r>
            <w:r>
              <w:rPr>
                <w:rFonts w:eastAsia="Times New Roman" w:cs="Calibri"/>
                <w:b/>
                <w:bCs/>
                <w:color w:val="000000"/>
                <w:sz w:val="22"/>
                <w:szCs w:val="22"/>
                <w:lang w:val="es-MX" w:eastAsia="es-MX"/>
              </w:rPr>
              <w:t>2,369,024,150</w:t>
            </w:r>
          </w:p>
        </w:tc>
      </w:tr>
      <w:tr w:rsidR="00925917" w:rsidRPr="00D21644" w:rsidTr="006658FA">
        <w:trPr>
          <w:trHeight w:val="296"/>
          <w:jc w:val="center"/>
        </w:trPr>
        <w:tc>
          <w:tcPr>
            <w:tcW w:w="4050" w:type="dxa"/>
            <w:tcBorders>
              <w:top w:val="nil"/>
              <w:left w:val="nil"/>
              <w:bottom w:val="nil"/>
              <w:right w:val="nil"/>
            </w:tcBorders>
            <w:shd w:val="clear" w:color="auto" w:fill="auto"/>
            <w:noWrap/>
            <w:vAlign w:val="bottom"/>
            <w:hideMark/>
          </w:tcPr>
          <w:p w:rsidR="00925917" w:rsidRPr="00D21644" w:rsidRDefault="00925917" w:rsidP="006658FA">
            <w:pPr>
              <w:spacing w:before="0" w:after="0" w:line="240" w:lineRule="auto"/>
              <w:jc w:val="left"/>
              <w:rPr>
                <w:rFonts w:eastAsia="Times New Roman" w:cs="Calibri"/>
                <w:b/>
                <w:bCs/>
                <w:color w:val="000000"/>
                <w:sz w:val="22"/>
                <w:szCs w:val="22"/>
                <w:lang w:val="es-MX" w:eastAsia="es-MX"/>
              </w:rPr>
            </w:pPr>
          </w:p>
        </w:tc>
        <w:tc>
          <w:tcPr>
            <w:tcW w:w="2204" w:type="dxa"/>
            <w:tcBorders>
              <w:top w:val="nil"/>
              <w:left w:val="nil"/>
              <w:bottom w:val="nil"/>
              <w:right w:val="nil"/>
            </w:tcBorders>
            <w:shd w:val="clear" w:color="auto" w:fill="auto"/>
            <w:noWrap/>
            <w:vAlign w:val="bottom"/>
            <w:hideMark/>
          </w:tcPr>
          <w:p w:rsidR="00925917" w:rsidRPr="00D21644" w:rsidRDefault="00925917" w:rsidP="006658FA">
            <w:pPr>
              <w:spacing w:before="0" w:after="0" w:line="240" w:lineRule="auto"/>
              <w:jc w:val="left"/>
              <w:rPr>
                <w:rFonts w:eastAsia="Times New Roman" w:cs="Times New Roman"/>
                <w:sz w:val="22"/>
                <w:szCs w:val="22"/>
                <w:lang w:val="es-MX" w:eastAsia="es-MX"/>
              </w:rPr>
            </w:pPr>
          </w:p>
        </w:tc>
      </w:tr>
    </w:tbl>
    <w:p w:rsidR="00925917" w:rsidRDefault="00925917" w:rsidP="00925917">
      <w:pPr>
        <w:spacing w:before="0" w:after="0"/>
        <w:rPr>
          <w:rFonts w:eastAsia="Calibri"/>
          <w:sz w:val="22"/>
          <w:szCs w:val="22"/>
        </w:rPr>
      </w:pPr>
    </w:p>
    <w:p w:rsidR="00925917" w:rsidRPr="00D21644" w:rsidRDefault="00925917" w:rsidP="00925917">
      <w:pPr>
        <w:pStyle w:val="Prrafodelista"/>
        <w:numPr>
          <w:ilvl w:val="0"/>
          <w:numId w:val="5"/>
        </w:numPr>
        <w:jc w:val="both"/>
        <w:rPr>
          <w:rFonts w:ascii="GalanoGrotesque-Light" w:eastAsia="Calibri" w:hAnsi="GalanoGrotesque-Light" w:cstheme="minorBidi"/>
          <w:b/>
          <w:sz w:val="22"/>
          <w:szCs w:val="22"/>
          <w:lang w:val="es-ES" w:eastAsia="en-US"/>
        </w:rPr>
      </w:pPr>
      <w:r w:rsidRPr="00D21644">
        <w:rPr>
          <w:rFonts w:ascii="GalanoGrotesque-Light" w:eastAsia="Calibri" w:hAnsi="GalanoGrotesque-Light" w:cstheme="minorBidi"/>
          <w:b/>
          <w:sz w:val="22"/>
          <w:szCs w:val="22"/>
          <w:lang w:val="es-ES" w:eastAsia="en-US"/>
        </w:rPr>
        <w:t>Información del avance de las acciones de la reestructura y/o refinanciamiento de la deuda pública del Estado de Michoacán, al amparo del Decreto Legislativo número 189, de fecha 18 de julio de 2022.</w:t>
      </w:r>
    </w:p>
    <w:p w:rsidR="00925917" w:rsidRPr="00D21644" w:rsidRDefault="00925917" w:rsidP="00925917">
      <w:pPr>
        <w:ind w:left="360"/>
        <w:rPr>
          <w:rFonts w:eastAsia="Calibri"/>
          <w:b/>
          <w:sz w:val="22"/>
          <w:szCs w:val="22"/>
        </w:rPr>
      </w:pPr>
    </w:p>
    <w:p w:rsidR="00925917" w:rsidRPr="00D21644" w:rsidRDefault="00925917" w:rsidP="00925917">
      <w:pPr>
        <w:rPr>
          <w:rFonts w:eastAsia="Calibri"/>
          <w:sz w:val="22"/>
          <w:szCs w:val="22"/>
        </w:rPr>
      </w:pPr>
      <w:r w:rsidRPr="00D21644">
        <w:rPr>
          <w:rFonts w:eastAsia="Calibri"/>
          <w:sz w:val="22"/>
          <w:szCs w:val="22"/>
        </w:rPr>
        <w:t xml:space="preserve">Al amparo y en los términos establecidos en el Decreto Legislativo Número 189, de fecha 18 de julio de 2022, donde el Congreso del Estado, autorizó al Poder Ejecutivo, a través de la Secretaría de Finanzas y Administración (SFA), llevar a cabo la Reestructura y/o Refinanciamiento de la Deuda Pública de Largo Plazo, por hasta 19,592 MDP (saldo al 30 de junio de 2022), la Secretaría de Finanzas y </w:t>
      </w:r>
      <w:r w:rsidRPr="00D21644">
        <w:rPr>
          <w:rFonts w:eastAsia="Calibri"/>
          <w:sz w:val="22"/>
          <w:szCs w:val="22"/>
        </w:rPr>
        <w:lastRenderedPageBreak/>
        <w:t>Administración ha realizado de manera cronológica, las actividades y avances siguientes:</w:t>
      </w:r>
    </w:p>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sidRPr="00D21644">
        <w:rPr>
          <w:rFonts w:eastAsia="Calibri"/>
          <w:b/>
          <w:sz w:val="22"/>
          <w:szCs w:val="22"/>
        </w:rPr>
        <w:t xml:space="preserve">7 de septiembre de 2022: </w:t>
      </w:r>
      <w:r w:rsidRPr="00D21644">
        <w:rPr>
          <w:rFonts w:eastAsia="Calibri"/>
          <w:sz w:val="22"/>
          <w:szCs w:val="22"/>
        </w:rPr>
        <w:t>Se lanzó la convocatoria a Licitación Pública nacional número SFA-LP-D189-1/2022, a las instituciones financieras del sistema financiero mexicano, para llevar a cabo el Refinanciamiento de la Deuda Pública Estatal. Fue publicada en los medios de comunicación que a continuación se mencionan:</w:t>
      </w:r>
    </w:p>
    <w:p w:rsidR="00925917" w:rsidRPr="00D21644" w:rsidRDefault="00925917" w:rsidP="00925917">
      <w:pPr>
        <w:rPr>
          <w:rFonts w:eastAsia="Calibri"/>
          <w:sz w:val="22"/>
          <w:szCs w:val="22"/>
        </w:rPr>
      </w:pPr>
      <w:r w:rsidRPr="00D21644">
        <w:rPr>
          <w:rFonts w:eastAsia="Calibri"/>
          <w:sz w:val="22"/>
          <w:szCs w:val="22"/>
        </w:rPr>
        <w:t>• Periódico Oficial del Estado de Michoacán.</w:t>
      </w:r>
    </w:p>
    <w:p w:rsidR="00925917" w:rsidRPr="00D21644" w:rsidRDefault="00925917" w:rsidP="00925917">
      <w:pPr>
        <w:rPr>
          <w:rFonts w:eastAsia="Calibri"/>
          <w:sz w:val="22"/>
          <w:szCs w:val="22"/>
        </w:rPr>
      </w:pPr>
      <w:r w:rsidRPr="00D21644">
        <w:rPr>
          <w:rFonts w:eastAsia="Calibri"/>
          <w:sz w:val="22"/>
          <w:szCs w:val="22"/>
        </w:rPr>
        <w:t>• Diarios de circulación nacional, “El Economista” y “El Financiero”.</w:t>
      </w:r>
    </w:p>
    <w:p w:rsidR="00925917" w:rsidRPr="00D21644" w:rsidRDefault="00925917" w:rsidP="00925917">
      <w:pPr>
        <w:rPr>
          <w:rFonts w:eastAsia="Calibri"/>
          <w:sz w:val="22"/>
          <w:szCs w:val="22"/>
        </w:rPr>
      </w:pPr>
      <w:r w:rsidRPr="00D21644">
        <w:rPr>
          <w:rFonts w:eastAsia="Calibri"/>
          <w:sz w:val="22"/>
          <w:szCs w:val="22"/>
        </w:rPr>
        <w:t xml:space="preserve">• Pagina web oficial de la SFA (Página Oficial de la Licitación); </w:t>
      </w:r>
      <w:hyperlink r:id="rId18" w:history="1">
        <w:r w:rsidRPr="00D21644">
          <w:rPr>
            <w:rStyle w:val="Hipervnculo"/>
            <w:rFonts w:eastAsia="Calibri"/>
            <w:sz w:val="22"/>
            <w:szCs w:val="22"/>
          </w:rPr>
          <w:t>https://secfinanzas.michoacan.gob.mx/licitacionrefinanciamiento/</w:t>
        </w:r>
      </w:hyperlink>
      <w:r w:rsidRPr="00D21644">
        <w:rPr>
          <w:rFonts w:eastAsia="Calibri"/>
          <w:sz w:val="22"/>
          <w:szCs w:val="22"/>
        </w:rPr>
        <w:t>.</w:t>
      </w:r>
    </w:p>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sidRPr="00D21644">
        <w:rPr>
          <w:rFonts w:eastAsia="Calibri"/>
          <w:b/>
          <w:sz w:val="22"/>
          <w:szCs w:val="22"/>
        </w:rPr>
        <w:t>8 de septiembre de 2022:</w:t>
      </w:r>
      <w:r w:rsidRPr="00D21644">
        <w:rPr>
          <w:rFonts w:eastAsia="Calibri"/>
          <w:sz w:val="22"/>
          <w:szCs w:val="22"/>
        </w:rPr>
        <w:t xml:space="preserve"> Se dieron a conocer las bases de la Litación Pública, y los modelos de contratos, anexos y las nuevas condiciones financieras de los créditos a contratar.</w:t>
      </w:r>
    </w:p>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sidRPr="00D21644">
        <w:rPr>
          <w:rFonts w:eastAsia="Calibri"/>
          <w:b/>
          <w:sz w:val="22"/>
          <w:szCs w:val="22"/>
        </w:rPr>
        <w:t>14 de septiembre de 2022:</w:t>
      </w:r>
      <w:r w:rsidRPr="00D21644">
        <w:rPr>
          <w:rFonts w:eastAsia="Calibri"/>
          <w:sz w:val="22"/>
          <w:szCs w:val="22"/>
        </w:rPr>
        <w:t xml:space="preserve"> Se llevó a cabo en CDMX, sesión informativa del proceso de refinanciamiento de la deuda pública del Estado, con la presencia de 14 instituciones financieras, tanto de la banca comercial como de desarrollo.</w:t>
      </w:r>
    </w:p>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sidRPr="00D21644">
        <w:rPr>
          <w:rFonts w:eastAsia="Calibri"/>
          <w:b/>
          <w:sz w:val="22"/>
          <w:szCs w:val="22"/>
        </w:rPr>
        <w:t>23 de septiembre de 2022:</w:t>
      </w:r>
      <w:r w:rsidRPr="00D21644">
        <w:rPr>
          <w:rFonts w:eastAsia="Calibri"/>
          <w:sz w:val="22"/>
          <w:szCs w:val="22"/>
        </w:rPr>
        <w:t xml:space="preserve"> Se celebró la Junta de Aclaraciones en la SFA, donde se dio respuesta a las preguntas y dudas de las instituciones financieras.</w:t>
      </w:r>
    </w:p>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sidRPr="00D21644">
        <w:rPr>
          <w:rFonts w:eastAsia="Calibri"/>
          <w:b/>
          <w:sz w:val="22"/>
          <w:szCs w:val="22"/>
        </w:rPr>
        <w:t>11 de octubre de 2022:</w:t>
      </w:r>
      <w:r w:rsidRPr="00D21644">
        <w:rPr>
          <w:rFonts w:eastAsia="Calibri"/>
          <w:sz w:val="22"/>
          <w:szCs w:val="22"/>
        </w:rPr>
        <w:t xml:space="preserve"> Se recibieron las calificaciones de riesgo de la operación, por parte de las agencias calificadoras HR Ratings (AAA) y FITCH Ratings (AA-), obteniendo un resultado de alta fortaleza y bajo riesgo de la operación.</w:t>
      </w:r>
    </w:p>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sidRPr="00D21644">
        <w:rPr>
          <w:rFonts w:eastAsia="Calibri"/>
          <w:b/>
          <w:sz w:val="22"/>
          <w:szCs w:val="22"/>
        </w:rPr>
        <w:lastRenderedPageBreak/>
        <w:t>27 de octubre de 2022:</w:t>
      </w:r>
      <w:r w:rsidRPr="00D21644">
        <w:rPr>
          <w:rFonts w:eastAsia="Calibri"/>
          <w:sz w:val="22"/>
          <w:szCs w:val="22"/>
        </w:rPr>
        <w:t xml:space="preserve"> Se celebró, el acto de presentación y apertura de ofertas de los Bancos. En este acto, se recibieron 10 (diez) Ofertas de Crédito, de las cuales se leyeron en voz alta los siguientes datos: (i) nombre del Licitante, (ii) monto ofertado, y (iii) Sobretasa aplicable a la Calificación Preliminar:</w:t>
      </w:r>
    </w:p>
    <w:tbl>
      <w:tblPr>
        <w:tblStyle w:val="Tablaconcuadrcula"/>
        <w:tblW w:w="0" w:type="auto"/>
        <w:jc w:val="center"/>
        <w:tblLook w:val="04A0" w:firstRow="1" w:lastRow="0" w:firstColumn="1" w:lastColumn="0" w:noHBand="0" w:noVBand="1"/>
      </w:tblPr>
      <w:tblGrid>
        <w:gridCol w:w="667"/>
        <w:gridCol w:w="1689"/>
        <w:gridCol w:w="1974"/>
        <w:gridCol w:w="2809"/>
        <w:gridCol w:w="1689"/>
      </w:tblGrid>
      <w:tr w:rsidR="00925917" w:rsidRPr="00D21644" w:rsidTr="006658FA">
        <w:trPr>
          <w:jc w:val="center"/>
        </w:trPr>
        <w:tc>
          <w:tcPr>
            <w:tcW w:w="703" w:type="dxa"/>
            <w:shd w:val="clear" w:color="auto" w:fill="E7E6E6" w:themeFill="background2"/>
            <w:vAlign w:val="center"/>
          </w:tcPr>
          <w:p w:rsidR="00925917" w:rsidRPr="00D21644" w:rsidRDefault="00925917" w:rsidP="006658FA">
            <w:pPr>
              <w:jc w:val="center"/>
              <w:rPr>
                <w:rFonts w:eastAsia="Calibri"/>
              </w:rPr>
            </w:pPr>
            <w:r w:rsidRPr="00D21644">
              <w:rPr>
                <w:rFonts w:eastAsia="Calibri"/>
              </w:rPr>
              <w:t>No.</w:t>
            </w:r>
          </w:p>
        </w:tc>
        <w:tc>
          <w:tcPr>
            <w:tcW w:w="2031" w:type="dxa"/>
            <w:shd w:val="clear" w:color="auto" w:fill="E7E6E6" w:themeFill="background2"/>
            <w:vAlign w:val="center"/>
          </w:tcPr>
          <w:p w:rsidR="00925917" w:rsidRPr="00D21644" w:rsidRDefault="00925917" w:rsidP="006658FA">
            <w:pPr>
              <w:jc w:val="center"/>
              <w:rPr>
                <w:rFonts w:eastAsia="Calibri"/>
              </w:rPr>
            </w:pPr>
            <w:r w:rsidRPr="00D21644">
              <w:rPr>
                <w:rFonts w:eastAsia="Calibri"/>
              </w:rPr>
              <w:t>Licitante</w:t>
            </w:r>
          </w:p>
        </w:tc>
        <w:tc>
          <w:tcPr>
            <w:tcW w:w="2030" w:type="dxa"/>
            <w:shd w:val="clear" w:color="auto" w:fill="E7E6E6" w:themeFill="background2"/>
            <w:vAlign w:val="center"/>
          </w:tcPr>
          <w:p w:rsidR="00925917" w:rsidRPr="00D21644" w:rsidRDefault="00925917" w:rsidP="006658FA">
            <w:pPr>
              <w:jc w:val="center"/>
              <w:rPr>
                <w:rFonts w:eastAsia="Calibri"/>
              </w:rPr>
            </w:pPr>
            <w:r w:rsidRPr="00D21644">
              <w:rPr>
                <w:rFonts w:eastAsia="Calibri"/>
              </w:rPr>
              <w:t>Denominación Oferta</w:t>
            </w:r>
          </w:p>
        </w:tc>
        <w:tc>
          <w:tcPr>
            <w:tcW w:w="2593" w:type="dxa"/>
            <w:shd w:val="clear" w:color="auto" w:fill="E7E6E6" w:themeFill="background2"/>
            <w:vAlign w:val="center"/>
          </w:tcPr>
          <w:p w:rsidR="00925917" w:rsidRPr="00D21644" w:rsidRDefault="00925917" w:rsidP="006658FA">
            <w:pPr>
              <w:jc w:val="center"/>
              <w:rPr>
                <w:rFonts w:eastAsia="Calibri"/>
              </w:rPr>
            </w:pPr>
            <w:r w:rsidRPr="00D21644">
              <w:rPr>
                <w:rFonts w:eastAsia="Calibri"/>
              </w:rPr>
              <w:t>Monto ofertado</w:t>
            </w:r>
          </w:p>
        </w:tc>
        <w:tc>
          <w:tcPr>
            <w:tcW w:w="2033" w:type="dxa"/>
            <w:shd w:val="clear" w:color="auto" w:fill="E7E6E6" w:themeFill="background2"/>
            <w:vAlign w:val="center"/>
          </w:tcPr>
          <w:p w:rsidR="00925917" w:rsidRPr="00D21644" w:rsidRDefault="00925917" w:rsidP="006658FA">
            <w:pPr>
              <w:jc w:val="center"/>
              <w:rPr>
                <w:rFonts w:eastAsia="Calibri"/>
              </w:rPr>
            </w:pPr>
            <w:r w:rsidRPr="00D21644">
              <w:rPr>
                <w:rFonts w:eastAsia="Calibri"/>
              </w:rPr>
              <w:t xml:space="preserve">Sobretasa aplicable </w:t>
            </w:r>
            <w:r w:rsidRPr="00D21644">
              <w:rPr>
                <w:rFonts w:eastAsia="Calibri"/>
                <w:b/>
              </w:rPr>
              <w:t>1</w:t>
            </w:r>
          </w:p>
        </w:tc>
      </w:tr>
      <w:tr w:rsidR="00925917" w:rsidRPr="00D21644" w:rsidTr="006658FA">
        <w:trPr>
          <w:jc w:val="center"/>
        </w:trPr>
        <w:tc>
          <w:tcPr>
            <w:tcW w:w="703" w:type="dxa"/>
          </w:tcPr>
          <w:p w:rsidR="00925917" w:rsidRPr="00D21644" w:rsidRDefault="00925917" w:rsidP="006658FA">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925917" w:rsidRPr="00D21644" w:rsidRDefault="00925917" w:rsidP="006658FA">
            <w:pPr>
              <w:jc w:val="center"/>
              <w:rPr>
                <w:rFonts w:eastAsia="Calibri"/>
              </w:rPr>
            </w:pPr>
            <w:r w:rsidRPr="00D21644">
              <w:rPr>
                <w:rFonts w:eastAsia="Calibri"/>
              </w:rPr>
              <w:t>BBVA</w:t>
            </w:r>
          </w:p>
        </w:tc>
        <w:tc>
          <w:tcPr>
            <w:tcW w:w="2030" w:type="dxa"/>
          </w:tcPr>
          <w:p w:rsidR="00925917" w:rsidRPr="00D21644" w:rsidRDefault="00925917" w:rsidP="006658FA">
            <w:pPr>
              <w:jc w:val="center"/>
              <w:rPr>
                <w:rFonts w:eastAsia="Calibri"/>
              </w:rPr>
            </w:pPr>
            <w:r w:rsidRPr="00D21644">
              <w:rPr>
                <w:rFonts w:eastAsia="Calibri"/>
              </w:rPr>
              <w:t>BBVA 1</w:t>
            </w:r>
          </w:p>
        </w:tc>
        <w:tc>
          <w:tcPr>
            <w:tcW w:w="2593" w:type="dxa"/>
          </w:tcPr>
          <w:p w:rsidR="00925917" w:rsidRPr="00D21644" w:rsidRDefault="00925917" w:rsidP="006658FA">
            <w:pPr>
              <w:jc w:val="center"/>
              <w:rPr>
                <w:rFonts w:eastAsia="Calibri"/>
              </w:rPr>
            </w:pPr>
            <w:r w:rsidRPr="00D21644">
              <w:rPr>
                <w:rFonts w:eastAsia="Calibri"/>
              </w:rPr>
              <w:t>$1,000'000,000.00</w:t>
            </w:r>
          </w:p>
        </w:tc>
        <w:tc>
          <w:tcPr>
            <w:tcW w:w="2033" w:type="dxa"/>
          </w:tcPr>
          <w:p w:rsidR="00925917" w:rsidRPr="00D21644" w:rsidRDefault="00925917" w:rsidP="006658FA">
            <w:pPr>
              <w:jc w:val="center"/>
              <w:rPr>
                <w:rFonts w:eastAsia="Calibri"/>
              </w:rPr>
            </w:pPr>
            <w:r w:rsidRPr="00D21644">
              <w:rPr>
                <w:rFonts w:eastAsia="Calibri"/>
              </w:rPr>
              <w:t>0.46</w:t>
            </w:r>
          </w:p>
        </w:tc>
      </w:tr>
      <w:tr w:rsidR="00925917" w:rsidRPr="00D21644" w:rsidTr="006658FA">
        <w:trPr>
          <w:jc w:val="center"/>
        </w:trPr>
        <w:tc>
          <w:tcPr>
            <w:tcW w:w="703" w:type="dxa"/>
          </w:tcPr>
          <w:p w:rsidR="00925917" w:rsidRPr="00D21644" w:rsidRDefault="00925917" w:rsidP="006658FA">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925917" w:rsidRPr="00D21644" w:rsidRDefault="00925917" w:rsidP="006658FA">
            <w:pPr>
              <w:jc w:val="center"/>
              <w:rPr>
                <w:rFonts w:eastAsia="Calibri"/>
              </w:rPr>
            </w:pPr>
            <w:proofErr w:type="spellStart"/>
            <w:r w:rsidRPr="00D21644">
              <w:rPr>
                <w:rFonts w:eastAsia="Calibri"/>
              </w:rPr>
              <w:t>Banobras</w:t>
            </w:r>
            <w:proofErr w:type="spellEnd"/>
          </w:p>
        </w:tc>
        <w:tc>
          <w:tcPr>
            <w:tcW w:w="2030" w:type="dxa"/>
          </w:tcPr>
          <w:p w:rsidR="00925917" w:rsidRPr="00D21644" w:rsidRDefault="00925917" w:rsidP="006658FA">
            <w:pPr>
              <w:jc w:val="center"/>
              <w:rPr>
                <w:rFonts w:eastAsia="Calibri"/>
              </w:rPr>
            </w:pPr>
            <w:proofErr w:type="spellStart"/>
            <w:r w:rsidRPr="00D21644">
              <w:rPr>
                <w:rFonts w:eastAsia="Calibri"/>
              </w:rPr>
              <w:t>Banobras</w:t>
            </w:r>
            <w:proofErr w:type="spellEnd"/>
            <w:r w:rsidRPr="00D21644">
              <w:rPr>
                <w:rFonts w:eastAsia="Calibri"/>
              </w:rPr>
              <w:t xml:space="preserve"> 1</w:t>
            </w:r>
          </w:p>
        </w:tc>
        <w:tc>
          <w:tcPr>
            <w:tcW w:w="2593" w:type="dxa"/>
          </w:tcPr>
          <w:p w:rsidR="00925917" w:rsidRPr="00D21644" w:rsidRDefault="00925917" w:rsidP="006658FA">
            <w:pPr>
              <w:jc w:val="center"/>
              <w:rPr>
                <w:rFonts w:eastAsia="Calibri"/>
              </w:rPr>
            </w:pPr>
            <w:r w:rsidRPr="00D21644">
              <w:rPr>
                <w:rFonts w:eastAsia="Calibri"/>
              </w:rPr>
              <w:t>$13,273'189,538.91</w:t>
            </w:r>
          </w:p>
        </w:tc>
        <w:tc>
          <w:tcPr>
            <w:tcW w:w="2033" w:type="dxa"/>
          </w:tcPr>
          <w:p w:rsidR="00925917" w:rsidRPr="00D21644" w:rsidRDefault="00925917" w:rsidP="006658FA">
            <w:pPr>
              <w:jc w:val="center"/>
              <w:rPr>
                <w:rFonts w:eastAsia="Calibri"/>
              </w:rPr>
            </w:pPr>
            <w:r w:rsidRPr="00D21644">
              <w:rPr>
                <w:rFonts w:eastAsia="Calibri"/>
              </w:rPr>
              <w:t>0.53</w:t>
            </w:r>
          </w:p>
        </w:tc>
      </w:tr>
      <w:tr w:rsidR="00925917" w:rsidRPr="00D21644" w:rsidTr="006658FA">
        <w:trPr>
          <w:jc w:val="center"/>
        </w:trPr>
        <w:tc>
          <w:tcPr>
            <w:tcW w:w="703" w:type="dxa"/>
          </w:tcPr>
          <w:p w:rsidR="00925917" w:rsidRPr="00D21644" w:rsidRDefault="00925917" w:rsidP="006658FA">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925917" w:rsidRPr="00D21644" w:rsidRDefault="00925917" w:rsidP="006658FA">
            <w:pPr>
              <w:jc w:val="center"/>
              <w:rPr>
                <w:rFonts w:eastAsia="Calibri"/>
              </w:rPr>
            </w:pPr>
            <w:proofErr w:type="spellStart"/>
            <w:r w:rsidRPr="00D21644">
              <w:rPr>
                <w:rFonts w:eastAsia="Calibri"/>
              </w:rPr>
              <w:t>Banobras</w:t>
            </w:r>
            <w:proofErr w:type="spellEnd"/>
          </w:p>
        </w:tc>
        <w:tc>
          <w:tcPr>
            <w:tcW w:w="2030" w:type="dxa"/>
          </w:tcPr>
          <w:p w:rsidR="00925917" w:rsidRPr="00D21644" w:rsidRDefault="00925917" w:rsidP="006658FA">
            <w:pPr>
              <w:jc w:val="center"/>
              <w:rPr>
                <w:rFonts w:eastAsia="Calibri"/>
              </w:rPr>
            </w:pPr>
            <w:proofErr w:type="spellStart"/>
            <w:r w:rsidRPr="00D21644">
              <w:rPr>
                <w:rFonts w:eastAsia="Calibri"/>
              </w:rPr>
              <w:t>Banobras</w:t>
            </w:r>
            <w:proofErr w:type="spellEnd"/>
            <w:r w:rsidRPr="00D21644">
              <w:rPr>
                <w:rFonts w:eastAsia="Calibri"/>
              </w:rPr>
              <w:t xml:space="preserve"> 2</w:t>
            </w:r>
          </w:p>
        </w:tc>
        <w:tc>
          <w:tcPr>
            <w:tcW w:w="2593" w:type="dxa"/>
          </w:tcPr>
          <w:p w:rsidR="00925917" w:rsidRPr="00D21644" w:rsidRDefault="00925917" w:rsidP="006658FA">
            <w:pPr>
              <w:jc w:val="center"/>
              <w:rPr>
                <w:rFonts w:eastAsia="Calibri"/>
              </w:rPr>
            </w:pPr>
            <w:r w:rsidRPr="00D21644">
              <w:rPr>
                <w:rFonts w:eastAsia="Calibri"/>
              </w:rPr>
              <w:t>$3,000'000,000.00</w:t>
            </w:r>
          </w:p>
        </w:tc>
        <w:tc>
          <w:tcPr>
            <w:tcW w:w="2033" w:type="dxa"/>
          </w:tcPr>
          <w:p w:rsidR="00925917" w:rsidRPr="00D21644" w:rsidRDefault="00925917" w:rsidP="006658FA">
            <w:pPr>
              <w:jc w:val="center"/>
              <w:rPr>
                <w:rFonts w:eastAsia="Calibri"/>
              </w:rPr>
            </w:pPr>
            <w:r w:rsidRPr="00D21644">
              <w:rPr>
                <w:rFonts w:eastAsia="Calibri"/>
              </w:rPr>
              <w:t>0.59</w:t>
            </w:r>
          </w:p>
        </w:tc>
      </w:tr>
      <w:tr w:rsidR="00925917" w:rsidRPr="00D21644" w:rsidTr="006658FA">
        <w:trPr>
          <w:jc w:val="center"/>
        </w:trPr>
        <w:tc>
          <w:tcPr>
            <w:tcW w:w="703" w:type="dxa"/>
          </w:tcPr>
          <w:p w:rsidR="00925917" w:rsidRPr="00D21644" w:rsidRDefault="00925917" w:rsidP="006658FA">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925917" w:rsidRPr="00D21644" w:rsidRDefault="00925917" w:rsidP="006658FA">
            <w:pPr>
              <w:jc w:val="center"/>
              <w:rPr>
                <w:rFonts w:eastAsia="Calibri"/>
              </w:rPr>
            </w:pPr>
            <w:proofErr w:type="spellStart"/>
            <w:r w:rsidRPr="00D21644">
              <w:rPr>
                <w:rFonts w:eastAsia="Calibri"/>
              </w:rPr>
              <w:t>Banobras</w:t>
            </w:r>
            <w:proofErr w:type="spellEnd"/>
          </w:p>
        </w:tc>
        <w:tc>
          <w:tcPr>
            <w:tcW w:w="2030" w:type="dxa"/>
          </w:tcPr>
          <w:p w:rsidR="00925917" w:rsidRPr="00D21644" w:rsidRDefault="00925917" w:rsidP="006658FA">
            <w:pPr>
              <w:jc w:val="center"/>
              <w:rPr>
                <w:rFonts w:eastAsia="Calibri"/>
              </w:rPr>
            </w:pPr>
            <w:proofErr w:type="spellStart"/>
            <w:r w:rsidRPr="00D21644">
              <w:rPr>
                <w:rFonts w:eastAsia="Calibri"/>
              </w:rPr>
              <w:t>Banobras</w:t>
            </w:r>
            <w:proofErr w:type="spellEnd"/>
            <w:r w:rsidRPr="00D21644">
              <w:rPr>
                <w:rFonts w:eastAsia="Calibri"/>
              </w:rPr>
              <w:t xml:space="preserve"> 3</w:t>
            </w:r>
          </w:p>
        </w:tc>
        <w:tc>
          <w:tcPr>
            <w:tcW w:w="2593" w:type="dxa"/>
          </w:tcPr>
          <w:p w:rsidR="00925917" w:rsidRPr="00D21644" w:rsidRDefault="00925917" w:rsidP="006658FA">
            <w:pPr>
              <w:jc w:val="center"/>
              <w:rPr>
                <w:rFonts w:eastAsia="Calibri"/>
              </w:rPr>
            </w:pPr>
            <w:r w:rsidRPr="00D21644">
              <w:rPr>
                <w:rFonts w:eastAsia="Calibri"/>
              </w:rPr>
              <w:t>$3,318'944,138.58</w:t>
            </w:r>
          </w:p>
        </w:tc>
        <w:tc>
          <w:tcPr>
            <w:tcW w:w="2033" w:type="dxa"/>
          </w:tcPr>
          <w:p w:rsidR="00925917" w:rsidRPr="00D21644" w:rsidRDefault="00925917" w:rsidP="006658FA">
            <w:pPr>
              <w:jc w:val="center"/>
              <w:rPr>
                <w:rFonts w:eastAsia="Calibri"/>
              </w:rPr>
            </w:pPr>
            <w:r w:rsidRPr="00D21644">
              <w:rPr>
                <w:rFonts w:eastAsia="Calibri"/>
              </w:rPr>
              <w:t>0.69</w:t>
            </w:r>
          </w:p>
        </w:tc>
      </w:tr>
      <w:tr w:rsidR="00925917" w:rsidRPr="00D21644" w:rsidTr="006658FA">
        <w:trPr>
          <w:jc w:val="center"/>
        </w:trPr>
        <w:tc>
          <w:tcPr>
            <w:tcW w:w="703" w:type="dxa"/>
          </w:tcPr>
          <w:p w:rsidR="00925917" w:rsidRPr="00D21644" w:rsidRDefault="00925917" w:rsidP="006658FA">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925917" w:rsidRPr="00D21644" w:rsidRDefault="00925917" w:rsidP="006658FA">
            <w:pPr>
              <w:jc w:val="center"/>
              <w:rPr>
                <w:rFonts w:eastAsia="Calibri"/>
              </w:rPr>
            </w:pPr>
            <w:r w:rsidRPr="00D21644">
              <w:rPr>
                <w:rFonts w:eastAsia="Calibri"/>
              </w:rPr>
              <w:t>Afirme</w:t>
            </w:r>
          </w:p>
        </w:tc>
        <w:tc>
          <w:tcPr>
            <w:tcW w:w="2030" w:type="dxa"/>
          </w:tcPr>
          <w:p w:rsidR="00925917" w:rsidRPr="00D21644" w:rsidRDefault="00925917" w:rsidP="006658FA">
            <w:pPr>
              <w:jc w:val="center"/>
              <w:rPr>
                <w:rFonts w:eastAsia="Calibri"/>
              </w:rPr>
            </w:pPr>
            <w:r w:rsidRPr="00D21644">
              <w:rPr>
                <w:rFonts w:eastAsia="Calibri"/>
              </w:rPr>
              <w:t>Afirme 1</w:t>
            </w:r>
          </w:p>
        </w:tc>
        <w:tc>
          <w:tcPr>
            <w:tcW w:w="2593" w:type="dxa"/>
          </w:tcPr>
          <w:p w:rsidR="00925917" w:rsidRPr="00D21644" w:rsidRDefault="00925917" w:rsidP="006658FA">
            <w:pPr>
              <w:jc w:val="center"/>
              <w:rPr>
                <w:rFonts w:eastAsia="Calibri"/>
              </w:rPr>
            </w:pPr>
            <w:r w:rsidRPr="00D21644">
              <w:rPr>
                <w:rFonts w:eastAsia="Calibri"/>
              </w:rPr>
              <w:t>$500'000,000.00</w:t>
            </w:r>
          </w:p>
        </w:tc>
        <w:tc>
          <w:tcPr>
            <w:tcW w:w="2033" w:type="dxa"/>
          </w:tcPr>
          <w:p w:rsidR="00925917" w:rsidRPr="00D21644" w:rsidRDefault="00925917" w:rsidP="006658FA">
            <w:pPr>
              <w:jc w:val="center"/>
              <w:rPr>
                <w:rFonts w:eastAsia="Calibri"/>
              </w:rPr>
            </w:pPr>
            <w:r w:rsidRPr="00D21644">
              <w:rPr>
                <w:rFonts w:eastAsia="Calibri"/>
              </w:rPr>
              <w:t>0.75</w:t>
            </w:r>
          </w:p>
        </w:tc>
      </w:tr>
      <w:tr w:rsidR="00925917" w:rsidRPr="00D21644" w:rsidTr="006658FA">
        <w:trPr>
          <w:jc w:val="center"/>
        </w:trPr>
        <w:tc>
          <w:tcPr>
            <w:tcW w:w="703" w:type="dxa"/>
          </w:tcPr>
          <w:p w:rsidR="00925917" w:rsidRPr="00D21644" w:rsidRDefault="00925917" w:rsidP="006658FA">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925917" w:rsidRPr="00D21644" w:rsidRDefault="00925917" w:rsidP="006658FA">
            <w:pPr>
              <w:jc w:val="center"/>
              <w:rPr>
                <w:rFonts w:eastAsia="Calibri"/>
              </w:rPr>
            </w:pPr>
            <w:r w:rsidRPr="00D21644">
              <w:rPr>
                <w:rFonts w:eastAsia="Calibri"/>
              </w:rPr>
              <w:t>Banorte</w:t>
            </w:r>
          </w:p>
        </w:tc>
        <w:tc>
          <w:tcPr>
            <w:tcW w:w="2030" w:type="dxa"/>
          </w:tcPr>
          <w:p w:rsidR="00925917" w:rsidRPr="00D21644" w:rsidRDefault="00925917" w:rsidP="006658FA">
            <w:pPr>
              <w:jc w:val="center"/>
              <w:rPr>
                <w:rFonts w:eastAsia="Calibri"/>
              </w:rPr>
            </w:pPr>
            <w:r w:rsidRPr="00D21644">
              <w:rPr>
                <w:rFonts w:eastAsia="Calibri"/>
              </w:rPr>
              <w:t>Banorte 1</w:t>
            </w:r>
          </w:p>
        </w:tc>
        <w:tc>
          <w:tcPr>
            <w:tcW w:w="2593" w:type="dxa"/>
          </w:tcPr>
          <w:p w:rsidR="00925917" w:rsidRPr="00D21644" w:rsidRDefault="00925917" w:rsidP="006658FA">
            <w:pPr>
              <w:jc w:val="center"/>
              <w:rPr>
                <w:rFonts w:eastAsia="Calibri"/>
              </w:rPr>
            </w:pPr>
            <w:r w:rsidRPr="00D21644">
              <w:rPr>
                <w:rFonts w:eastAsia="Calibri"/>
              </w:rPr>
              <w:t>$2,500'000,000.00</w:t>
            </w:r>
          </w:p>
        </w:tc>
        <w:tc>
          <w:tcPr>
            <w:tcW w:w="2033" w:type="dxa"/>
          </w:tcPr>
          <w:p w:rsidR="00925917" w:rsidRPr="00D21644" w:rsidRDefault="00925917" w:rsidP="006658FA">
            <w:pPr>
              <w:jc w:val="center"/>
              <w:rPr>
                <w:rFonts w:eastAsia="Calibri"/>
              </w:rPr>
            </w:pPr>
            <w:r w:rsidRPr="00D21644">
              <w:rPr>
                <w:rFonts w:eastAsia="Calibri"/>
              </w:rPr>
              <w:t>0.43</w:t>
            </w:r>
          </w:p>
        </w:tc>
      </w:tr>
      <w:tr w:rsidR="00925917" w:rsidRPr="00D21644" w:rsidTr="006658FA">
        <w:trPr>
          <w:jc w:val="center"/>
        </w:trPr>
        <w:tc>
          <w:tcPr>
            <w:tcW w:w="703" w:type="dxa"/>
          </w:tcPr>
          <w:p w:rsidR="00925917" w:rsidRPr="00D21644" w:rsidRDefault="00925917" w:rsidP="006658FA">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925917" w:rsidRPr="00D21644" w:rsidRDefault="00925917" w:rsidP="006658FA">
            <w:pPr>
              <w:jc w:val="center"/>
              <w:rPr>
                <w:rFonts w:eastAsia="Calibri"/>
              </w:rPr>
            </w:pPr>
            <w:r w:rsidRPr="00D21644">
              <w:rPr>
                <w:rFonts w:eastAsia="Calibri"/>
              </w:rPr>
              <w:t>Banorte</w:t>
            </w:r>
          </w:p>
        </w:tc>
        <w:tc>
          <w:tcPr>
            <w:tcW w:w="2030" w:type="dxa"/>
          </w:tcPr>
          <w:p w:rsidR="00925917" w:rsidRPr="00D21644" w:rsidRDefault="00925917" w:rsidP="006658FA">
            <w:pPr>
              <w:jc w:val="center"/>
              <w:rPr>
                <w:rFonts w:eastAsia="Calibri"/>
              </w:rPr>
            </w:pPr>
            <w:r w:rsidRPr="00D21644">
              <w:rPr>
                <w:rFonts w:eastAsia="Calibri"/>
              </w:rPr>
              <w:t>Banorte 2</w:t>
            </w:r>
          </w:p>
        </w:tc>
        <w:tc>
          <w:tcPr>
            <w:tcW w:w="2593" w:type="dxa"/>
          </w:tcPr>
          <w:p w:rsidR="00925917" w:rsidRPr="00D21644" w:rsidRDefault="00925917" w:rsidP="006658FA">
            <w:pPr>
              <w:jc w:val="center"/>
              <w:rPr>
                <w:rFonts w:eastAsia="Calibri"/>
              </w:rPr>
            </w:pPr>
            <w:r w:rsidRPr="00D21644">
              <w:rPr>
                <w:rFonts w:eastAsia="Calibri"/>
              </w:rPr>
              <w:t>$2,500'000,000.00</w:t>
            </w:r>
          </w:p>
        </w:tc>
        <w:tc>
          <w:tcPr>
            <w:tcW w:w="2033" w:type="dxa"/>
          </w:tcPr>
          <w:p w:rsidR="00925917" w:rsidRPr="00D21644" w:rsidRDefault="00925917" w:rsidP="006658FA">
            <w:pPr>
              <w:jc w:val="center"/>
              <w:rPr>
                <w:rFonts w:eastAsia="Calibri"/>
              </w:rPr>
            </w:pPr>
            <w:r w:rsidRPr="00D21644">
              <w:rPr>
                <w:rFonts w:eastAsia="Calibri"/>
              </w:rPr>
              <w:t>0.48</w:t>
            </w:r>
          </w:p>
        </w:tc>
      </w:tr>
      <w:tr w:rsidR="00925917" w:rsidRPr="00D21644" w:rsidTr="006658FA">
        <w:trPr>
          <w:jc w:val="center"/>
        </w:trPr>
        <w:tc>
          <w:tcPr>
            <w:tcW w:w="703" w:type="dxa"/>
          </w:tcPr>
          <w:p w:rsidR="00925917" w:rsidRPr="00D21644" w:rsidRDefault="00925917" w:rsidP="006658FA">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925917" w:rsidRPr="00D21644" w:rsidRDefault="00925917" w:rsidP="006658FA">
            <w:pPr>
              <w:jc w:val="center"/>
              <w:rPr>
                <w:rFonts w:eastAsia="Calibri"/>
              </w:rPr>
            </w:pPr>
            <w:r w:rsidRPr="00D21644">
              <w:rPr>
                <w:rFonts w:eastAsia="Calibri"/>
              </w:rPr>
              <w:t>Banorte</w:t>
            </w:r>
          </w:p>
        </w:tc>
        <w:tc>
          <w:tcPr>
            <w:tcW w:w="2030" w:type="dxa"/>
          </w:tcPr>
          <w:p w:rsidR="00925917" w:rsidRPr="00D21644" w:rsidRDefault="00925917" w:rsidP="006658FA">
            <w:pPr>
              <w:jc w:val="center"/>
              <w:rPr>
                <w:rFonts w:eastAsia="Calibri"/>
              </w:rPr>
            </w:pPr>
            <w:r w:rsidRPr="00D21644">
              <w:rPr>
                <w:rFonts w:eastAsia="Calibri"/>
              </w:rPr>
              <w:t>Banorte 3</w:t>
            </w:r>
          </w:p>
        </w:tc>
        <w:tc>
          <w:tcPr>
            <w:tcW w:w="2593" w:type="dxa"/>
          </w:tcPr>
          <w:p w:rsidR="00925917" w:rsidRPr="00D21644" w:rsidRDefault="00925917" w:rsidP="006658FA">
            <w:pPr>
              <w:jc w:val="center"/>
              <w:rPr>
                <w:rFonts w:eastAsia="Calibri"/>
              </w:rPr>
            </w:pPr>
            <w:r w:rsidRPr="00D21644">
              <w:rPr>
                <w:rFonts w:eastAsia="Calibri"/>
              </w:rPr>
              <w:t>$1,000'000,000.00</w:t>
            </w:r>
          </w:p>
        </w:tc>
        <w:tc>
          <w:tcPr>
            <w:tcW w:w="2033" w:type="dxa"/>
          </w:tcPr>
          <w:p w:rsidR="00925917" w:rsidRPr="00D21644" w:rsidRDefault="00925917" w:rsidP="006658FA">
            <w:pPr>
              <w:jc w:val="center"/>
              <w:rPr>
                <w:rFonts w:eastAsia="Calibri"/>
              </w:rPr>
            </w:pPr>
            <w:r w:rsidRPr="00D21644">
              <w:rPr>
                <w:rFonts w:eastAsia="Calibri"/>
              </w:rPr>
              <w:t>0.50</w:t>
            </w:r>
          </w:p>
        </w:tc>
      </w:tr>
      <w:tr w:rsidR="00925917" w:rsidRPr="00D21644" w:rsidTr="006658FA">
        <w:trPr>
          <w:jc w:val="center"/>
        </w:trPr>
        <w:tc>
          <w:tcPr>
            <w:tcW w:w="703" w:type="dxa"/>
          </w:tcPr>
          <w:p w:rsidR="00925917" w:rsidRPr="00D21644" w:rsidRDefault="00925917" w:rsidP="006658FA">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925917" w:rsidRPr="00D21644" w:rsidRDefault="00925917" w:rsidP="006658FA">
            <w:pPr>
              <w:jc w:val="center"/>
              <w:rPr>
                <w:rFonts w:eastAsia="Calibri"/>
              </w:rPr>
            </w:pPr>
            <w:r w:rsidRPr="00D21644">
              <w:rPr>
                <w:rFonts w:eastAsia="Calibri"/>
              </w:rPr>
              <w:t>Bajío</w:t>
            </w:r>
          </w:p>
        </w:tc>
        <w:tc>
          <w:tcPr>
            <w:tcW w:w="2030" w:type="dxa"/>
          </w:tcPr>
          <w:p w:rsidR="00925917" w:rsidRPr="00D21644" w:rsidRDefault="00925917" w:rsidP="006658FA">
            <w:pPr>
              <w:jc w:val="center"/>
              <w:rPr>
                <w:rFonts w:eastAsia="Calibri"/>
              </w:rPr>
            </w:pPr>
            <w:r w:rsidRPr="00D21644">
              <w:rPr>
                <w:rFonts w:eastAsia="Calibri"/>
              </w:rPr>
              <w:t>Bajío 1</w:t>
            </w:r>
          </w:p>
        </w:tc>
        <w:tc>
          <w:tcPr>
            <w:tcW w:w="2593" w:type="dxa"/>
          </w:tcPr>
          <w:p w:rsidR="00925917" w:rsidRPr="00D21644" w:rsidRDefault="00925917" w:rsidP="006658FA">
            <w:pPr>
              <w:jc w:val="center"/>
              <w:rPr>
                <w:rFonts w:eastAsia="Calibri"/>
              </w:rPr>
            </w:pPr>
            <w:r w:rsidRPr="00D21644">
              <w:rPr>
                <w:rFonts w:eastAsia="Calibri"/>
              </w:rPr>
              <w:t>$600'000,000.00</w:t>
            </w:r>
          </w:p>
        </w:tc>
        <w:tc>
          <w:tcPr>
            <w:tcW w:w="2033" w:type="dxa"/>
          </w:tcPr>
          <w:p w:rsidR="00925917" w:rsidRPr="00D21644" w:rsidRDefault="00925917" w:rsidP="006658FA">
            <w:pPr>
              <w:jc w:val="center"/>
              <w:rPr>
                <w:rFonts w:eastAsia="Calibri"/>
              </w:rPr>
            </w:pPr>
            <w:r w:rsidRPr="00D21644">
              <w:rPr>
                <w:rFonts w:eastAsia="Calibri"/>
              </w:rPr>
              <w:t>0.50</w:t>
            </w:r>
          </w:p>
        </w:tc>
      </w:tr>
      <w:tr w:rsidR="00925917" w:rsidRPr="00D21644" w:rsidTr="006658FA">
        <w:trPr>
          <w:jc w:val="center"/>
        </w:trPr>
        <w:tc>
          <w:tcPr>
            <w:tcW w:w="703" w:type="dxa"/>
          </w:tcPr>
          <w:p w:rsidR="00925917" w:rsidRPr="00D21644" w:rsidRDefault="00925917" w:rsidP="006658FA">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925917" w:rsidRPr="00D21644" w:rsidRDefault="00925917" w:rsidP="006658FA">
            <w:pPr>
              <w:jc w:val="center"/>
              <w:rPr>
                <w:rFonts w:eastAsia="Calibri"/>
              </w:rPr>
            </w:pPr>
            <w:r w:rsidRPr="00D21644">
              <w:rPr>
                <w:rFonts w:eastAsia="Calibri"/>
              </w:rPr>
              <w:t>Azteca</w:t>
            </w:r>
          </w:p>
        </w:tc>
        <w:tc>
          <w:tcPr>
            <w:tcW w:w="2030" w:type="dxa"/>
          </w:tcPr>
          <w:p w:rsidR="00925917" w:rsidRPr="00D21644" w:rsidRDefault="00925917" w:rsidP="006658FA">
            <w:pPr>
              <w:jc w:val="center"/>
              <w:rPr>
                <w:rFonts w:eastAsia="Calibri"/>
              </w:rPr>
            </w:pPr>
            <w:r w:rsidRPr="00D21644">
              <w:rPr>
                <w:rFonts w:eastAsia="Calibri"/>
              </w:rPr>
              <w:t>Azteca 1</w:t>
            </w:r>
          </w:p>
        </w:tc>
        <w:tc>
          <w:tcPr>
            <w:tcW w:w="2593" w:type="dxa"/>
          </w:tcPr>
          <w:p w:rsidR="00925917" w:rsidRPr="00D21644" w:rsidRDefault="00925917" w:rsidP="006658FA">
            <w:pPr>
              <w:jc w:val="center"/>
              <w:rPr>
                <w:rFonts w:eastAsia="Calibri"/>
              </w:rPr>
            </w:pPr>
            <w:r w:rsidRPr="00D21644">
              <w:rPr>
                <w:rFonts w:eastAsia="Calibri"/>
              </w:rPr>
              <w:t>$500'000,000.00</w:t>
            </w:r>
          </w:p>
        </w:tc>
        <w:tc>
          <w:tcPr>
            <w:tcW w:w="2033" w:type="dxa"/>
          </w:tcPr>
          <w:p w:rsidR="00925917" w:rsidRPr="00D21644" w:rsidRDefault="00925917" w:rsidP="006658FA">
            <w:pPr>
              <w:jc w:val="center"/>
              <w:rPr>
                <w:rFonts w:eastAsia="Calibri"/>
              </w:rPr>
            </w:pPr>
            <w:r w:rsidRPr="00D21644">
              <w:rPr>
                <w:rFonts w:eastAsia="Calibri"/>
              </w:rPr>
              <w:t>0.50</w:t>
            </w:r>
          </w:p>
        </w:tc>
      </w:tr>
    </w:tbl>
    <w:p w:rsidR="00925917" w:rsidRPr="00D21644" w:rsidRDefault="00925917" w:rsidP="00925917">
      <w:pPr>
        <w:rPr>
          <w:rFonts w:eastAsia="Calibri"/>
          <w:sz w:val="22"/>
          <w:szCs w:val="22"/>
        </w:rPr>
      </w:pPr>
      <w:r w:rsidRPr="00D21644">
        <w:rPr>
          <w:rFonts w:eastAsia="Calibri"/>
          <w:b/>
          <w:sz w:val="22"/>
          <w:szCs w:val="22"/>
        </w:rPr>
        <w:t>1</w:t>
      </w:r>
      <w:r w:rsidRPr="00D21644">
        <w:rPr>
          <w:rFonts w:eastAsia="Calibri"/>
          <w:sz w:val="22"/>
          <w:szCs w:val="22"/>
        </w:rPr>
        <w:t xml:space="preserve"> Se refiere a la sobretasa aplicable al nivel de la Calificación Preliminar en escala nacional de AA-, o su equivalente.</w:t>
      </w:r>
    </w:p>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sidRPr="00D21644">
        <w:rPr>
          <w:rFonts w:eastAsia="Calibri"/>
          <w:sz w:val="22"/>
          <w:szCs w:val="22"/>
        </w:rPr>
        <w:t xml:space="preserve">De igual forma, se informó que se recibió una carta de negativa de participación en la Licitación Pública por parte de </w:t>
      </w:r>
      <w:proofErr w:type="spellStart"/>
      <w:r w:rsidRPr="00D21644">
        <w:rPr>
          <w:rFonts w:eastAsia="Calibri"/>
          <w:sz w:val="22"/>
          <w:szCs w:val="22"/>
        </w:rPr>
        <w:t>Citibanamex</w:t>
      </w:r>
      <w:proofErr w:type="spellEnd"/>
      <w:r w:rsidRPr="00D21644">
        <w:rPr>
          <w:rFonts w:eastAsia="Calibri"/>
          <w:sz w:val="22"/>
          <w:szCs w:val="22"/>
        </w:rPr>
        <w:t>.</w:t>
      </w:r>
    </w:p>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Pr>
          <w:rFonts w:eastAsia="Calibri"/>
          <w:b/>
          <w:sz w:val="22"/>
          <w:szCs w:val="22"/>
        </w:rPr>
        <w:t>31 de o</w:t>
      </w:r>
      <w:r w:rsidRPr="00D21644">
        <w:rPr>
          <w:rFonts w:eastAsia="Calibri"/>
          <w:b/>
          <w:sz w:val="22"/>
          <w:szCs w:val="22"/>
        </w:rPr>
        <w:t>ctubre de 2022:</w:t>
      </w:r>
      <w:r w:rsidRPr="00D21644">
        <w:rPr>
          <w:rFonts w:eastAsia="Calibri"/>
          <w:sz w:val="22"/>
          <w:szCs w:val="22"/>
        </w:rPr>
        <w:t xml:space="preserve"> Se celebró el acto de fallo para designar las ofertas de los Bancos Ganadores, derivado del análisis y evaluación de las Ofertas Calificadas de conformidad con los numerales 14, 15, 16 y 17 de los Lineamientos de la Metodología para el Cálculo del Menor Costo Financiero y</w:t>
      </w:r>
      <w:r>
        <w:rPr>
          <w:rFonts w:eastAsia="Calibri"/>
          <w:sz w:val="22"/>
          <w:szCs w:val="22"/>
        </w:rPr>
        <w:t xml:space="preserve"> </w:t>
      </w:r>
      <w:r w:rsidRPr="00D21644">
        <w:rPr>
          <w:rFonts w:eastAsia="Calibri"/>
          <w:sz w:val="22"/>
          <w:szCs w:val="22"/>
        </w:rPr>
        <w:t xml:space="preserve">de los Procesos Competitivos de los </w:t>
      </w:r>
      <w:r w:rsidRPr="00D21644">
        <w:rPr>
          <w:rFonts w:eastAsia="Calibri"/>
          <w:sz w:val="22"/>
          <w:szCs w:val="22"/>
        </w:rPr>
        <w:lastRenderedPageBreak/>
        <w:t xml:space="preserve">Financiamientos y Obligaciones a contratar por parte de las Entidades Federativas, los Municipios y sus Entes Públicos. </w:t>
      </w:r>
      <w:proofErr w:type="gramStart"/>
      <w:r w:rsidRPr="00D21644">
        <w:rPr>
          <w:rFonts w:eastAsia="Calibri"/>
          <w:sz w:val="22"/>
          <w:szCs w:val="22"/>
        </w:rPr>
        <w:t>y</w:t>
      </w:r>
      <w:proofErr w:type="gramEnd"/>
      <w:r w:rsidRPr="00D21644">
        <w:rPr>
          <w:rFonts w:eastAsia="Calibri"/>
          <w:sz w:val="22"/>
          <w:szCs w:val="22"/>
        </w:rPr>
        <w:t xml:space="preserve"> el numeral 7.4 de las Bases de la Licitación. Las Tasas Efectivas se calcularon conforme a la metodología establecida en la Ley de Disciplina Financiera y los Lineamientos, tomando en consideración la curva de proyecciones de la Tasa de Interés Interbancaria de Equilibrio a 28 días anualizados, correspondientes al 26 de octubre de 2022, obtenida por la Secretaría en términos de los citados Lineamientos,</w:t>
      </w:r>
      <w:r w:rsidRPr="00D21644">
        <w:rPr>
          <w:sz w:val="22"/>
          <w:szCs w:val="22"/>
        </w:rPr>
        <w:t xml:space="preserve"> </w:t>
      </w:r>
      <w:r w:rsidRPr="00D21644">
        <w:rPr>
          <w:rFonts w:eastAsia="Calibri"/>
          <w:sz w:val="22"/>
          <w:szCs w:val="22"/>
        </w:rPr>
        <w:t>se obtuvieron los siguientes resultados:</w:t>
      </w:r>
    </w:p>
    <w:p w:rsidR="00925917" w:rsidRPr="00D21644" w:rsidRDefault="00925917" w:rsidP="00925917">
      <w:pPr>
        <w:rPr>
          <w:rFonts w:eastAsia="Calibri"/>
          <w:sz w:val="22"/>
          <w:szCs w:val="22"/>
        </w:rPr>
      </w:pPr>
    </w:p>
    <w:tbl>
      <w:tblPr>
        <w:tblStyle w:val="Tablaconcuadrcula"/>
        <w:tblW w:w="0" w:type="auto"/>
        <w:jc w:val="center"/>
        <w:tblLook w:val="04A0" w:firstRow="1" w:lastRow="0" w:firstColumn="1" w:lastColumn="0" w:noHBand="0" w:noVBand="1"/>
      </w:tblPr>
      <w:tblGrid>
        <w:gridCol w:w="600"/>
        <w:gridCol w:w="1365"/>
        <w:gridCol w:w="1748"/>
        <w:gridCol w:w="2513"/>
        <w:gridCol w:w="1365"/>
        <w:gridCol w:w="1237"/>
      </w:tblGrid>
      <w:tr w:rsidR="00925917" w:rsidRPr="00D21644" w:rsidTr="006658FA">
        <w:trPr>
          <w:jc w:val="center"/>
        </w:trPr>
        <w:tc>
          <w:tcPr>
            <w:tcW w:w="618" w:type="dxa"/>
            <w:shd w:val="clear" w:color="auto" w:fill="E7E6E6" w:themeFill="background2"/>
            <w:vAlign w:val="center"/>
          </w:tcPr>
          <w:p w:rsidR="00925917" w:rsidRPr="00D21644" w:rsidRDefault="00925917" w:rsidP="006658FA">
            <w:pPr>
              <w:jc w:val="center"/>
              <w:rPr>
                <w:rFonts w:eastAsia="Calibri"/>
              </w:rPr>
            </w:pPr>
            <w:r w:rsidRPr="00D21644">
              <w:rPr>
                <w:rFonts w:eastAsia="Calibri"/>
              </w:rPr>
              <w:t>No.</w:t>
            </w:r>
          </w:p>
        </w:tc>
        <w:tc>
          <w:tcPr>
            <w:tcW w:w="1567" w:type="dxa"/>
            <w:shd w:val="clear" w:color="auto" w:fill="E7E6E6" w:themeFill="background2"/>
            <w:vAlign w:val="center"/>
          </w:tcPr>
          <w:p w:rsidR="00925917" w:rsidRPr="00D21644" w:rsidRDefault="00925917" w:rsidP="006658FA">
            <w:pPr>
              <w:jc w:val="center"/>
              <w:rPr>
                <w:rFonts w:eastAsia="Calibri"/>
              </w:rPr>
            </w:pPr>
            <w:r w:rsidRPr="00D21644">
              <w:rPr>
                <w:rFonts w:eastAsia="Calibri"/>
              </w:rPr>
              <w:t>Licitante</w:t>
            </w:r>
          </w:p>
        </w:tc>
        <w:tc>
          <w:tcPr>
            <w:tcW w:w="1835" w:type="dxa"/>
            <w:shd w:val="clear" w:color="auto" w:fill="E7E6E6" w:themeFill="background2"/>
            <w:vAlign w:val="center"/>
          </w:tcPr>
          <w:p w:rsidR="00925917" w:rsidRPr="00D21644" w:rsidRDefault="00925917" w:rsidP="006658FA">
            <w:pPr>
              <w:jc w:val="center"/>
              <w:rPr>
                <w:rFonts w:eastAsia="Calibri"/>
              </w:rPr>
            </w:pPr>
            <w:r w:rsidRPr="00D21644">
              <w:rPr>
                <w:rFonts w:eastAsia="Calibri"/>
              </w:rPr>
              <w:t>Denominación Oferta</w:t>
            </w:r>
          </w:p>
        </w:tc>
        <w:tc>
          <w:tcPr>
            <w:tcW w:w="2036" w:type="dxa"/>
            <w:shd w:val="clear" w:color="auto" w:fill="E7E6E6" w:themeFill="background2"/>
            <w:vAlign w:val="center"/>
          </w:tcPr>
          <w:p w:rsidR="00925917" w:rsidRPr="00D21644" w:rsidRDefault="00925917" w:rsidP="006658FA">
            <w:pPr>
              <w:jc w:val="center"/>
              <w:rPr>
                <w:rFonts w:eastAsia="Calibri"/>
              </w:rPr>
            </w:pPr>
            <w:r w:rsidRPr="00D21644">
              <w:rPr>
                <w:rFonts w:eastAsia="Calibri"/>
              </w:rPr>
              <w:t>Monto ofertado</w:t>
            </w:r>
          </w:p>
        </w:tc>
        <w:tc>
          <w:tcPr>
            <w:tcW w:w="1310" w:type="dxa"/>
            <w:shd w:val="clear" w:color="auto" w:fill="E7E6E6" w:themeFill="background2"/>
            <w:vAlign w:val="center"/>
          </w:tcPr>
          <w:p w:rsidR="00925917" w:rsidRPr="00D21644" w:rsidRDefault="00925917" w:rsidP="006658FA">
            <w:pPr>
              <w:jc w:val="center"/>
              <w:rPr>
                <w:rFonts w:eastAsia="Calibri"/>
              </w:rPr>
            </w:pPr>
            <w:r w:rsidRPr="00D21644">
              <w:rPr>
                <w:rFonts w:eastAsia="Calibri"/>
              </w:rPr>
              <w:t xml:space="preserve">Sobretasa aplicable </w:t>
            </w:r>
            <w:r w:rsidRPr="00D21644">
              <w:rPr>
                <w:rFonts w:eastAsia="Calibri"/>
                <w:b/>
              </w:rPr>
              <w:t>1</w:t>
            </w:r>
          </w:p>
        </w:tc>
        <w:tc>
          <w:tcPr>
            <w:tcW w:w="1462" w:type="dxa"/>
            <w:shd w:val="clear" w:color="auto" w:fill="E7E6E6" w:themeFill="background2"/>
          </w:tcPr>
          <w:p w:rsidR="00925917" w:rsidRPr="00D21644" w:rsidRDefault="00925917" w:rsidP="006658FA">
            <w:pPr>
              <w:jc w:val="center"/>
              <w:rPr>
                <w:rFonts w:eastAsia="Calibri"/>
              </w:rPr>
            </w:pPr>
            <w:r w:rsidRPr="00D21644">
              <w:rPr>
                <w:rFonts w:eastAsia="Calibri"/>
              </w:rPr>
              <w:t>Tasa Efectiva</w:t>
            </w:r>
          </w:p>
        </w:tc>
      </w:tr>
      <w:tr w:rsidR="00925917" w:rsidRPr="00D21644" w:rsidTr="006658FA">
        <w:trPr>
          <w:jc w:val="center"/>
        </w:trPr>
        <w:tc>
          <w:tcPr>
            <w:tcW w:w="618" w:type="dxa"/>
          </w:tcPr>
          <w:p w:rsidR="00925917" w:rsidRPr="00D21644" w:rsidRDefault="00925917" w:rsidP="006658FA">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925917" w:rsidRPr="00D21644" w:rsidRDefault="00925917" w:rsidP="006658FA">
            <w:pPr>
              <w:jc w:val="center"/>
              <w:rPr>
                <w:rFonts w:eastAsia="Calibri"/>
              </w:rPr>
            </w:pPr>
            <w:r w:rsidRPr="00D21644">
              <w:rPr>
                <w:rFonts w:eastAsia="Calibri"/>
              </w:rPr>
              <w:t>Banorte</w:t>
            </w:r>
          </w:p>
        </w:tc>
        <w:tc>
          <w:tcPr>
            <w:tcW w:w="1835" w:type="dxa"/>
          </w:tcPr>
          <w:p w:rsidR="00925917" w:rsidRPr="00D21644" w:rsidRDefault="00925917" w:rsidP="006658FA">
            <w:pPr>
              <w:jc w:val="center"/>
              <w:rPr>
                <w:rFonts w:eastAsia="Calibri"/>
              </w:rPr>
            </w:pPr>
            <w:r w:rsidRPr="00D21644">
              <w:rPr>
                <w:rFonts w:eastAsia="Calibri"/>
              </w:rPr>
              <w:t>Banorte 1</w:t>
            </w:r>
          </w:p>
        </w:tc>
        <w:tc>
          <w:tcPr>
            <w:tcW w:w="2036" w:type="dxa"/>
          </w:tcPr>
          <w:p w:rsidR="00925917" w:rsidRPr="00D21644" w:rsidRDefault="00925917" w:rsidP="006658FA">
            <w:pPr>
              <w:jc w:val="center"/>
              <w:rPr>
                <w:rFonts w:eastAsia="Calibri"/>
              </w:rPr>
            </w:pPr>
            <w:r w:rsidRPr="00D21644">
              <w:rPr>
                <w:rFonts w:eastAsia="Calibri"/>
              </w:rPr>
              <w:t>$2,500'000,000.00</w:t>
            </w:r>
          </w:p>
        </w:tc>
        <w:tc>
          <w:tcPr>
            <w:tcW w:w="1310" w:type="dxa"/>
          </w:tcPr>
          <w:p w:rsidR="00925917" w:rsidRPr="00D21644" w:rsidRDefault="00925917" w:rsidP="006658FA">
            <w:pPr>
              <w:jc w:val="center"/>
              <w:rPr>
                <w:rFonts w:eastAsia="Calibri"/>
              </w:rPr>
            </w:pPr>
            <w:r w:rsidRPr="00D21644">
              <w:rPr>
                <w:rFonts w:eastAsia="Calibri"/>
              </w:rPr>
              <w:t>0.43</w:t>
            </w:r>
          </w:p>
        </w:tc>
        <w:tc>
          <w:tcPr>
            <w:tcW w:w="1462" w:type="dxa"/>
          </w:tcPr>
          <w:p w:rsidR="00925917" w:rsidRPr="00D21644" w:rsidRDefault="00925917" w:rsidP="006658FA">
            <w:pPr>
              <w:jc w:val="center"/>
              <w:rPr>
                <w:rFonts w:eastAsia="Calibri"/>
              </w:rPr>
            </w:pPr>
            <w:r w:rsidRPr="00D21644">
              <w:rPr>
                <w:rFonts w:eastAsia="Calibri"/>
              </w:rPr>
              <w:t>9.8002%</w:t>
            </w:r>
          </w:p>
        </w:tc>
      </w:tr>
      <w:tr w:rsidR="00925917" w:rsidRPr="00D21644" w:rsidTr="006658FA">
        <w:trPr>
          <w:jc w:val="center"/>
        </w:trPr>
        <w:tc>
          <w:tcPr>
            <w:tcW w:w="618" w:type="dxa"/>
          </w:tcPr>
          <w:p w:rsidR="00925917" w:rsidRPr="00D21644" w:rsidRDefault="00925917" w:rsidP="006658FA">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925917" w:rsidRPr="00D21644" w:rsidRDefault="00925917" w:rsidP="006658FA">
            <w:pPr>
              <w:jc w:val="center"/>
              <w:rPr>
                <w:rFonts w:eastAsia="Calibri"/>
              </w:rPr>
            </w:pPr>
            <w:r w:rsidRPr="00D21644">
              <w:rPr>
                <w:rFonts w:eastAsia="Calibri"/>
              </w:rPr>
              <w:t>BBVA</w:t>
            </w:r>
          </w:p>
        </w:tc>
        <w:tc>
          <w:tcPr>
            <w:tcW w:w="1835" w:type="dxa"/>
          </w:tcPr>
          <w:p w:rsidR="00925917" w:rsidRPr="00D21644" w:rsidRDefault="00925917" w:rsidP="006658FA">
            <w:pPr>
              <w:jc w:val="center"/>
              <w:rPr>
                <w:rFonts w:eastAsia="Calibri"/>
              </w:rPr>
            </w:pPr>
            <w:r w:rsidRPr="00D21644">
              <w:rPr>
                <w:rFonts w:eastAsia="Calibri"/>
              </w:rPr>
              <w:t>BBVA 1</w:t>
            </w:r>
          </w:p>
        </w:tc>
        <w:tc>
          <w:tcPr>
            <w:tcW w:w="2036" w:type="dxa"/>
          </w:tcPr>
          <w:p w:rsidR="00925917" w:rsidRPr="00D21644" w:rsidRDefault="00925917" w:rsidP="006658FA">
            <w:pPr>
              <w:jc w:val="center"/>
              <w:rPr>
                <w:rFonts w:eastAsia="Calibri"/>
              </w:rPr>
            </w:pPr>
            <w:r w:rsidRPr="00D21644">
              <w:rPr>
                <w:rFonts w:eastAsia="Calibri"/>
              </w:rPr>
              <w:t>$1,000'000,000.00</w:t>
            </w:r>
          </w:p>
        </w:tc>
        <w:tc>
          <w:tcPr>
            <w:tcW w:w="1310" w:type="dxa"/>
          </w:tcPr>
          <w:p w:rsidR="00925917" w:rsidRPr="00D21644" w:rsidRDefault="00925917" w:rsidP="006658FA">
            <w:pPr>
              <w:jc w:val="center"/>
              <w:rPr>
                <w:rFonts w:eastAsia="Calibri"/>
              </w:rPr>
            </w:pPr>
            <w:r w:rsidRPr="00D21644">
              <w:rPr>
                <w:rFonts w:eastAsia="Calibri"/>
              </w:rPr>
              <w:t>0.46</w:t>
            </w:r>
          </w:p>
        </w:tc>
        <w:tc>
          <w:tcPr>
            <w:tcW w:w="1462" w:type="dxa"/>
          </w:tcPr>
          <w:p w:rsidR="00925917" w:rsidRPr="00D21644" w:rsidRDefault="00925917" w:rsidP="006658FA">
            <w:pPr>
              <w:jc w:val="center"/>
              <w:rPr>
                <w:rFonts w:eastAsia="Calibri"/>
              </w:rPr>
            </w:pPr>
            <w:r w:rsidRPr="00D21644">
              <w:rPr>
                <w:rFonts w:eastAsia="Calibri"/>
              </w:rPr>
              <w:t>9.8302%</w:t>
            </w:r>
          </w:p>
        </w:tc>
      </w:tr>
      <w:tr w:rsidR="00925917" w:rsidRPr="00D21644" w:rsidTr="006658FA">
        <w:trPr>
          <w:jc w:val="center"/>
        </w:trPr>
        <w:tc>
          <w:tcPr>
            <w:tcW w:w="618" w:type="dxa"/>
          </w:tcPr>
          <w:p w:rsidR="00925917" w:rsidRPr="00D21644" w:rsidRDefault="00925917" w:rsidP="006658FA">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925917" w:rsidRPr="00D21644" w:rsidRDefault="00925917" w:rsidP="006658FA">
            <w:pPr>
              <w:jc w:val="center"/>
              <w:rPr>
                <w:rFonts w:eastAsia="Calibri"/>
              </w:rPr>
            </w:pPr>
            <w:r w:rsidRPr="00D21644">
              <w:rPr>
                <w:rFonts w:eastAsia="Calibri"/>
              </w:rPr>
              <w:t>Banorte</w:t>
            </w:r>
          </w:p>
        </w:tc>
        <w:tc>
          <w:tcPr>
            <w:tcW w:w="1835" w:type="dxa"/>
          </w:tcPr>
          <w:p w:rsidR="00925917" w:rsidRPr="00D21644" w:rsidRDefault="00925917" w:rsidP="006658FA">
            <w:pPr>
              <w:jc w:val="center"/>
              <w:rPr>
                <w:rFonts w:eastAsia="Calibri"/>
              </w:rPr>
            </w:pPr>
            <w:r w:rsidRPr="00D21644">
              <w:rPr>
                <w:rFonts w:eastAsia="Calibri"/>
              </w:rPr>
              <w:t>Banorte 2</w:t>
            </w:r>
          </w:p>
        </w:tc>
        <w:tc>
          <w:tcPr>
            <w:tcW w:w="2036" w:type="dxa"/>
          </w:tcPr>
          <w:p w:rsidR="00925917" w:rsidRPr="00D21644" w:rsidRDefault="00925917" w:rsidP="006658FA">
            <w:pPr>
              <w:jc w:val="center"/>
              <w:rPr>
                <w:rFonts w:eastAsia="Calibri"/>
              </w:rPr>
            </w:pPr>
            <w:r w:rsidRPr="00D21644">
              <w:rPr>
                <w:rFonts w:eastAsia="Calibri"/>
              </w:rPr>
              <w:t>$2,500'000,000.00</w:t>
            </w:r>
          </w:p>
        </w:tc>
        <w:tc>
          <w:tcPr>
            <w:tcW w:w="1310" w:type="dxa"/>
          </w:tcPr>
          <w:p w:rsidR="00925917" w:rsidRPr="00D21644" w:rsidRDefault="00925917" w:rsidP="006658FA">
            <w:pPr>
              <w:jc w:val="center"/>
              <w:rPr>
                <w:rFonts w:eastAsia="Calibri"/>
              </w:rPr>
            </w:pPr>
            <w:r w:rsidRPr="00D21644">
              <w:rPr>
                <w:rFonts w:eastAsia="Calibri"/>
              </w:rPr>
              <w:t>0.48</w:t>
            </w:r>
          </w:p>
        </w:tc>
        <w:tc>
          <w:tcPr>
            <w:tcW w:w="1462" w:type="dxa"/>
          </w:tcPr>
          <w:p w:rsidR="00925917" w:rsidRPr="00D21644" w:rsidRDefault="00925917" w:rsidP="006658FA">
            <w:pPr>
              <w:jc w:val="center"/>
              <w:rPr>
                <w:rFonts w:eastAsia="Calibri"/>
              </w:rPr>
            </w:pPr>
            <w:r w:rsidRPr="00D21644">
              <w:rPr>
                <w:rFonts w:eastAsia="Calibri"/>
              </w:rPr>
              <w:t>9.8501%</w:t>
            </w:r>
          </w:p>
        </w:tc>
      </w:tr>
      <w:tr w:rsidR="00925917" w:rsidRPr="00D21644" w:rsidTr="006658FA">
        <w:trPr>
          <w:jc w:val="center"/>
        </w:trPr>
        <w:tc>
          <w:tcPr>
            <w:tcW w:w="618" w:type="dxa"/>
          </w:tcPr>
          <w:p w:rsidR="00925917" w:rsidRPr="00D21644" w:rsidRDefault="00925917" w:rsidP="006658FA">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925917" w:rsidRPr="00D21644" w:rsidRDefault="00925917" w:rsidP="006658FA">
            <w:pPr>
              <w:jc w:val="center"/>
              <w:rPr>
                <w:rFonts w:eastAsia="Calibri"/>
              </w:rPr>
            </w:pPr>
            <w:r w:rsidRPr="00D21644">
              <w:rPr>
                <w:rFonts w:eastAsia="Calibri"/>
              </w:rPr>
              <w:t>Banorte</w:t>
            </w:r>
          </w:p>
        </w:tc>
        <w:tc>
          <w:tcPr>
            <w:tcW w:w="1835" w:type="dxa"/>
          </w:tcPr>
          <w:p w:rsidR="00925917" w:rsidRPr="00D21644" w:rsidRDefault="00925917" w:rsidP="006658FA">
            <w:pPr>
              <w:jc w:val="center"/>
              <w:rPr>
                <w:rFonts w:eastAsia="Calibri"/>
              </w:rPr>
            </w:pPr>
            <w:r w:rsidRPr="00D21644">
              <w:rPr>
                <w:rFonts w:eastAsia="Calibri"/>
              </w:rPr>
              <w:t>Banorte 3</w:t>
            </w:r>
          </w:p>
        </w:tc>
        <w:tc>
          <w:tcPr>
            <w:tcW w:w="2036" w:type="dxa"/>
          </w:tcPr>
          <w:p w:rsidR="00925917" w:rsidRPr="00D21644" w:rsidRDefault="00925917" w:rsidP="006658FA">
            <w:pPr>
              <w:jc w:val="center"/>
              <w:rPr>
                <w:rFonts w:eastAsia="Calibri"/>
              </w:rPr>
            </w:pPr>
            <w:r w:rsidRPr="00D21644">
              <w:rPr>
                <w:rFonts w:eastAsia="Calibri"/>
              </w:rPr>
              <w:t>$1,000'000,000.00</w:t>
            </w:r>
          </w:p>
        </w:tc>
        <w:tc>
          <w:tcPr>
            <w:tcW w:w="1310" w:type="dxa"/>
          </w:tcPr>
          <w:p w:rsidR="00925917" w:rsidRPr="00D21644" w:rsidRDefault="00925917" w:rsidP="006658FA">
            <w:pPr>
              <w:jc w:val="center"/>
              <w:rPr>
                <w:rFonts w:eastAsia="Calibri"/>
              </w:rPr>
            </w:pPr>
            <w:r w:rsidRPr="00D21644">
              <w:rPr>
                <w:rFonts w:eastAsia="Calibri"/>
              </w:rPr>
              <w:t>0.50</w:t>
            </w:r>
          </w:p>
        </w:tc>
        <w:tc>
          <w:tcPr>
            <w:tcW w:w="1462" w:type="dxa"/>
          </w:tcPr>
          <w:p w:rsidR="00925917" w:rsidRPr="00D21644" w:rsidRDefault="00925917" w:rsidP="006658FA">
            <w:pPr>
              <w:jc w:val="center"/>
              <w:rPr>
                <w:rFonts w:eastAsia="Calibri"/>
              </w:rPr>
            </w:pPr>
            <w:r w:rsidRPr="00D21644">
              <w:rPr>
                <w:rFonts w:eastAsia="Calibri"/>
              </w:rPr>
              <w:t>9.8701%</w:t>
            </w:r>
          </w:p>
        </w:tc>
      </w:tr>
      <w:tr w:rsidR="00925917" w:rsidRPr="00D21644" w:rsidTr="006658FA">
        <w:trPr>
          <w:jc w:val="center"/>
        </w:trPr>
        <w:tc>
          <w:tcPr>
            <w:tcW w:w="618" w:type="dxa"/>
          </w:tcPr>
          <w:p w:rsidR="00925917" w:rsidRPr="00D21644" w:rsidRDefault="00925917" w:rsidP="006658FA">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925917" w:rsidRPr="00D21644" w:rsidRDefault="00925917" w:rsidP="006658FA">
            <w:pPr>
              <w:jc w:val="center"/>
              <w:rPr>
                <w:rFonts w:eastAsia="Calibri"/>
              </w:rPr>
            </w:pPr>
            <w:r w:rsidRPr="00D21644">
              <w:rPr>
                <w:rFonts w:eastAsia="Calibri"/>
              </w:rPr>
              <w:t>Bajío</w:t>
            </w:r>
          </w:p>
        </w:tc>
        <w:tc>
          <w:tcPr>
            <w:tcW w:w="1835" w:type="dxa"/>
          </w:tcPr>
          <w:p w:rsidR="00925917" w:rsidRPr="00D21644" w:rsidRDefault="00925917" w:rsidP="006658FA">
            <w:pPr>
              <w:jc w:val="center"/>
              <w:rPr>
                <w:rFonts w:eastAsia="Calibri"/>
              </w:rPr>
            </w:pPr>
            <w:r w:rsidRPr="00D21644">
              <w:rPr>
                <w:rFonts w:eastAsia="Calibri"/>
              </w:rPr>
              <w:t>Bajío 1</w:t>
            </w:r>
          </w:p>
        </w:tc>
        <w:tc>
          <w:tcPr>
            <w:tcW w:w="2036" w:type="dxa"/>
          </w:tcPr>
          <w:p w:rsidR="00925917" w:rsidRPr="00D21644" w:rsidRDefault="00925917" w:rsidP="006658FA">
            <w:pPr>
              <w:jc w:val="center"/>
              <w:rPr>
                <w:rFonts w:eastAsia="Calibri"/>
              </w:rPr>
            </w:pPr>
            <w:r w:rsidRPr="00D21644">
              <w:rPr>
                <w:rFonts w:eastAsia="Calibri"/>
              </w:rPr>
              <w:t>$600'000,000.00</w:t>
            </w:r>
          </w:p>
        </w:tc>
        <w:tc>
          <w:tcPr>
            <w:tcW w:w="1310" w:type="dxa"/>
          </w:tcPr>
          <w:p w:rsidR="00925917" w:rsidRPr="00D21644" w:rsidRDefault="00925917" w:rsidP="006658FA">
            <w:pPr>
              <w:jc w:val="center"/>
              <w:rPr>
                <w:rFonts w:eastAsia="Calibri"/>
              </w:rPr>
            </w:pPr>
            <w:r w:rsidRPr="00D21644">
              <w:rPr>
                <w:rFonts w:eastAsia="Calibri"/>
              </w:rPr>
              <w:t>0.50</w:t>
            </w:r>
          </w:p>
        </w:tc>
        <w:tc>
          <w:tcPr>
            <w:tcW w:w="1462" w:type="dxa"/>
          </w:tcPr>
          <w:p w:rsidR="00925917" w:rsidRPr="00D21644" w:rsidRDefault="00925917" w:rsidP="006658FA">
            <w:pPr>
              <w:jc w:val="center"/>
              <w:rPr>
                <w:rFonts w:eastAsia="Calibri"/>
              </w:rPr>
            </w:pPr>
            <w:r w:rsidRPr="00D21644">
              <w:rPr>
                <w:rFonts w:eastAsia="Calibri"/>
              </w:rPr>
              <w:t>9.8701%</w:t>
            </w:r>
          </w:p>
        </w:tc>
      </w:tr>
      <w:tr w:rsidR="00925917" w:rsidRPr="00D21644" w:rsidTr="006658FA">
        <w:trPr>
          <w:jc w:val="center"/>
        </w:trPr>
        <w:tc>
          <w:tcPr>
            <w:tcW w:w="618" w:type="dxa"/>
          </w:tcPr>
          <w:p w:rsidR="00925917" w:rsidRPr="00D21644" w:rsidRDefault="00925917" w:rsidP="006658FA">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925917" w:rsidRPr="00D21644" w:rsidRDefault="00925917" w:rsidP="006658FA">
            <w:pPr>
              <w:jc w:val="center"/>
              <w:rPr>
                <w:rFonts w:eastAsia="Calibri"/>
              </w:rPr>
            </w:pPr>
            <w:r w:rsidRPr="00D21644">
              <w:rPr>
                <w:rFonts w:eastAsia="Calibri"/>
              </w:rPr>
              <w:t>Azteca</w:t>
            </w:r>
          </w:p>
        </w:tc>
        <w:tc>
          <w:tcPr>
            <w:tcW w:w="1835" w:type="dxa"/>
          </w:tcPr>
          <w:p w:rsidR="00925917" w:rsidRPr="00D21644" w:rsidRDefault="00925917" w:rsidP="006658FA">
            <w:pPr>
              <w:jc w:val="center"/>
              <w:rPr>
                <w:rFonts w:eastAsia="Calibri"/>
              </w:rPr>
            </w:pPr>
            <w:r w:rsidRPr="00D21644">
              <w:rPr>
                <w:rFonts w:eastAsia="Calibri"/>
              </w:rPr>
              <w:t>Azteca 1</w:t>
            </w:r>
          </w:p>
        </w:tc>
        <w:tc>
          <w:tcPr>
            <w:tcW w:w="2036" w:type="dxa"/>
          </w:tcPr>
          <w:p w:rsidR="00925917" w:rsidRPr="00D21644" w:rsidRDefault="00925917" w:rsidP="006658FA">
            <w:pPr>
              <w:jc w:val="center"/>
              <w:rPr>
                <w:rFonts w:eastAsia="Calibri"/>
              </w:rPr>
            </w:pPr>
            <w:r w:rsidRPr="00D21644">
              <w:rPr>
                <w:rFonts w:eastAsia="Calibri"/>
              </w:rPr>
              <w:t>$500'000,000.00</w:t>
            </w:r>
          </w:p>
        </w:tc>
        <w:tc>
          <w:tcPr>
            <w:tcW w:w="1310" w:type="dxa"/>
          </w:tcPr>
          <w:p w:rsidR="00925917" w:rsidRPr="00D21644" w:rsidRDefault="00925917" w:rsidP="006658FA">
            <w:pPr>
              <w:jc w:val="center"/>
              <w:rPr>
                <w:rFonts w:eastAsia="Calibri"/>
              </w:rPr>
            </w:pPr>
            <w:r w:rsidRPr="00D21644">
              <w:rPr>
                <w:rFonts w:eastAsia="Calibri"/>
              </w:rPr>
              <w:t>0.50</w:t>
            </w:r>
          </w:p>
        </w:tc>
        <w:tc>
          <w:tcPr>
            <w:tcW w:w="1462" w:type="dxa"/>
          </w:tcPr>
          <w:p w:rsidR="00925917" w:rsidRPr="00D21644" w:rsidRDefault="00925917" w:rsidP="006658FA">
            <w:pPr>
              <w:jc w:val="center"/>
              <w:rPr>
                <w:rFonts w:eastAsia="Calibri"/>
              </w:rPr>
            </w:pPr>
            <w:r w:rsidRPr="00D21644">
              <w:rPr>
                <w:rFonts w:eastAsia="Calibri"/>
              </w:rPr>
              <w:t>9.8701%</w:t>
            </w:r>
          </w:p>
        </w:tc>
      </w:tr>
      <w:tr w:rsidR="00925917" w:rsidRPr="00D21644" w:rsidTr="006658FA">
        <w:trPr>
          <w:jc w:val="center"/>
        </w:trPr>
        <w:tc>
          <w:tcPr>
            <w:tcW w:w="618" w:type="dxa"/>
          </w:tcPr>
          <w:p w:rsidR="00925917" w:rsidRPr="00D21644" w:rsidRDefault="00925917" w:rsidP="006658FA">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925917" w:rsidRPr="00D21644" w:rsidRDefault="00925917" w:rsidP="006658FA">
            <w:pPr>
              <w:jc w:val="center"/>
              <w:rPr>
                <w:rFonts w:eastAsia="Calibri"/>
              </w:rPr>
            </w:pPr>
            <w:proofErr w:type="spellStart"/>
            <w:r w:rsidRPr="00D21644">
              <w:rPr>
                <w:rFonts w:eastAsia="Calibri"/>
              </w:rPr>
              <w:t>Banobras</w:t>
            </w:r>
            <w:proofErr w:type="spellEnd"/>
          </w:p>
        </w:tc>
        <w:tc>
          <w:tcPr>
            <w:tcW w:w="1835" w:type="dxa"/>
          </w:tcPr>
          <w:p w:rsidR="00925917" w:rsidRPr="00D21644" w:rsidRDefault="00925917" w:rsidP="006658FA">
            <w:pPr>
              <w:jc w:val="center"/>
              <w:rPr>
                <w:rFonts w:eastAsia="Calibri"/>
              </w:rPr>
            </w:pPr>
            <w:proofErr w:type="spellStart"/>
            <w:r w:rsidRPr="00D21644">
              <w:rPr>
                <w:rFonts w:eastAsia="Calibri"/>
              </w:rPr>
              <w:t>Banobras</w:t>
            </w:r>
            <w:proofErr w:type="spellEnd"/>
            <w:r w:rsidRPr="00D21644">
              <w:rPr>
                <w:rFonts w:eastAsia="Calibri"/>
              </w:rPr>
              <w:t xml:space="preserve"> 1</w:t>
            </w:r>
          </w:p>
        </w:tc>
        <w:tc>
          <w:tcPr>
            <w:tcW w:w="2036" w:type="dxa"/>
          </w:tcPr>
          <w:p w:rsidR="00925917" w:rsidRPr="00D21644" w:rsidRDefault="00925917" w:rsidP="006658FA">
            <w:pPr>
              <w:jc w:val="center"/>
              <w:rPr>
                <w:rFonts w:eastAsia="Calibri"/>
              </w:rPr>
            </w:pPr>
            <w:r w:rsidRPr="00D21644">
              <w:rPr>
                <w:rFonts w:eastAsia="Calibri"/>
              </w:rPr>
              <w:t>$13,273'189,538.91</w:t>
            </w:r>
          </w:p>
        </w:tc>
        <w:tc>
          <w:tcPr>
            <w:tcW w:w="1310" w:type="dxa"/>
          </w:tcPr>
          <w:p w:rsidR="00925917" w:rsidRPr="00D21644" w:rsidRDefault="00925917" w:rsidP="006658FA">
            <w:pPr>
              <w:jc w:val="center"/>
              <w:rPr>
                <w:rFonts w:eastAsia="Calibri"/>
              </w:rPr>
            </w:pPr>
            <w:r w:rsidRPr="00D21644">
              <w:rPr>
                <w:rFonts w:eastAsia="Calibri"/>
              </w:rPr>
              <w:t>0.53</w:t>
            </w:r>
          </w:p>
        </w:tc>
        <w:tc>
          <w:tcPr>
            <w:tcW w:w="1462" w:type="dxa"/>
          </w:tcPr>
          <w:p w:rsidR="00925917" w:rsidRPr="00D21644" w:rsidRDefault="00925917" w:rsidP="006658FA">
            <w:pPr>
              <w:jc w:val="center"/>
              <w:rPr>
                <w:rFonts w:eastAsia="Calibri"/>
              </w:rPr>
            </w:pPr>
            <w:r w:rsidRPr="00D21644">
              <w:rPr>
                <w:rFonts w:eastAsia="Calibri"/>
              </w:rPr>
              <w:t>9.9000%</w:t>
            </w:r>
          </w:p>
        </w:tc>
      </w:tr>
      <w:tr w:rsidR="00925917" w:rsidRPr="00D21644" w:rsidTr="006658FA">
        <w:trPr>
          <w:jc w:val="center"/>
        </w:trPr>
        <w:tc>
          <w:tcPr>
            <w:tcW w:w="618" w:type="dxa"/>
          </w:tcPr>
          <w:p w:rsidR="00925917" w:rsidRPr="00D21644" w:rsidRDefault="00925917" w:rsidP="006658FA">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925917" w:rsidRPr="00D21644" w:rsidRDefault="00925917" w:rsidP="006658FA">
            <w:pPr>
              <w:jc w:val="center"/>
              <w:rPr>
                <w:rFonts w:eastAsia="Calibri"/>
              </w:rPr>
            </w:pPr>
            <w:proofErr w:type="spellStart"/>
            <w:r w:rsidRPr="00D21644">
              <w:rPr>
                <w:rFonts w:eastAsia="Calibri"/>
              </w:rPr>
              <w:t>Banobras</w:t>
            </w:r>
            <w:proofErr w:type="spellEnd"/>
          </w:p>
        </w:tc>
        <w:tc>
          <w:tcPr>
            <w:tcW w:w="1835" w:type="dxa"/>
          </w:tcPr>
          <w:p w:rsidR="00925917" w:rsidRPr="00D21644" w:rsidRDefault="00925917" w:rsidP="006658FA">
            <w:pPr>
              <w:jc w:val="center"/>
              <w:rPr>
                <w:rFonts w:eastAsia="Calibri"/>
              </w:rPr>
            </w:pPr>
            <w:proofErr w:type="spellStart"/>
            <w:r w:rsidRPr="00D21644">
              <w:rPr>
                <w:rFonts w:eastAsia="Calibri"/>
              </w:rPr>
              <w:t>Banobras</w:t>
            </w:r>
            <w:proofErr w:type="spellEnd"/>
            <w:r w:rsidRPr="00D21644">
              <w:rPr>
                <w:rFonts w:eastAsia="Calibri"/>
              </w:rPr>
              <w:t xml:space="preserve"> 2</w:t>
            </w:r>
          </w:p>
        </w:tc>
        <w:tc>
          <w:tcPr>
            <w:tcW w:w="2036" w:type="dxa"/>
          </w:tcPr>
          <w:p w:rsidR="00925917" w:rsidRPr="00D21644" w:rsidRDefault="00925917" w:rsidP="006658FA">
            <w:pPr>
              <w:jc w:val="center"/>
              <w:rPr>
                <w:rFonts w:eastAsia="Calibri"/>
              </w:rPr>
            </w:pPr>
            <w:r w:rsidRPr="00D21644">
              <w:rPr>
                <w:rFonts w:eastAsia="Calibri"/>
              </w:rPr>
              <w:t>$3,000'000,000.00</w:t>
            </w:r>
          </w:p>
        </w:tc>
        <w:tc>
          <w:tcPr>
            <w:tcW w:w="1310" w:type="dxa"/>
          </w:tcPr>
          <w:p w:rsidR="00925917" w:rsidRPr="00D21644" w:rsidRDefault="00925917" w:rsidP="006658FA">
            <w:pPr>
              <w:jc w:val="center"/>
              <w:rPr>
                <w:rFonts w:eastAsia="Calibri"/>
              </w:rPr>
            </w:pPr>
            <w:r w:rsidRPr="00D21644">
              <w:rPr>
                <w:rFonts w:eastAsia="Calibri"/>
              </w:rPr>
              <w:t>0.59</w:t>
            </w:r>
          </w:p>
        </w:tc>
        <w:tc>
          <w:tcPr>
            <w:tcW w:w="1462" w:type="dxa"/>
          </w:tcPr>
          <w:p w:rsidR="00925917" w:rsidRPr="00D21644" w:rsidRDefault="00925917" w:rsidP="006658FA">
            <w:pPr>
              <w:jc w:val="center"/>
              <w:rPr>
                <w:rFonts w:eastAsia="Calibri"/>
              </w:rPr>
            </w:pPr>
            <w:r w:rsidRPr="00D21644">
              <w:rPr>
                <w:rFonts w:eastAsia="Calibri"/>
              </w:rPr>
              <w:t>9.9600%</w:t>
            </w:r>
          </w:p>
        </w:tc>
      </w:tr>
      <w:tr w:rsidR="00925917" w:rsidRPr="00D21644" w:rsidTr="006658FA">
        <w:trPr>
          <w:jc w:val="center"/>
        </w:trPr>
        <w:tc>
          <w:tcPr>
            <w:tcW w:w="618" w:type="dxa"/>
          </w:tcPr>
          <w:p w:rsidR="00925917" w:rsidRPr="00D21644" w:rsidRDefault="00925917" w:rsidP="006658FA">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925917" w:rsidRPr="00D21644" w:rsidRDefault="00925917" w:rsidP="006658FA">
            <w:pPr>
              <w:jc w:val="center"/>
              <w:rPr>
                <w:rFonts w:eastAsia="Calibri"/>
              </w:rPr>
            </w:pPr>
            <w:proofErr w:type="spellStart"/>
            <w:r w:rsidRPr="00D21644">
              <w:rPr>
                <w:rFonts w:eastAsia="Calibri"/>
              </w:rPr>
              <w:t>Banobras</w:t>
            </w:r>
            <w:proofErr w:type="spellEnd"/>
          </w:p>
        </w:tc>
        <w:tc>
          <w:tcPr>
            <w:tcW w:w="1835" w:type="dxa"/>
          </w:tcPr>
          <w:p w:rsidR="00925917" w:rsidRPr="00D21644" w:rsidRDefault="00925917" w:rsidP="006658FA">
            <w:pPr>
              <w:jc w:val="center"/>
              <w:rPr>
                <w:rFonts w:eastAsia="Calibri"/>
              </w:rPr>
            </w:pPr>
            <w:proofErr w:type="spellStart"/>
            <w:r w:rsidRPr="00D21644">
              <w:rPr>
                <w:rFonts w:eastAsia="Calibri"/>
              </w:rPr>
              <w:t>Banobras</w:t>
            </w:r>
            <w:proofErr w:type="spellEnd"/>
            <w:r w:rsidRPr="00D21644">
              <w:rPr>
                <w:rFonts w:eastAsia="Calibri"/>
              </w:rPr>
              <w:t xml:space="preserve"> 3</w:t>
            </w:r>
          </w:p>
        </w:tc>
        <w:tc>
          <w:tcPr>
            <w:tcW w:w="2036" w:type="dxa"/>
          </w:tcPr>
          <w:p w:rsidR="00925917" w:rsidRPr="00D21644" w:rsidRDefault="00925917" w:rsidP="006658FA">
            <w:pPr>
              <w:jc w:val="center"/>
              <w:rPr>
                <w:rFonts w:eastAsia="Calibri"/>
              </w:rPr>
            </w:pPr>
            <w:r w:rsidRPr="00D21644">
              <w:rPr>
                <w:rFonts w:eastAsia="Calibri"/>
              </w:rPr>
              <w:t>$3,318'944,138.58</w:t>
            </w:r>
          </w:p>
        </w:tc>
        <w:tc>
          <w:tcPr>
            <w:tcW w:w="1310" w:type="dxa"/>
          </w:tcPr>
          <w:p w:rsidR="00925917" w:rsidRPr="00D21644" w:rsidRDefault="00925917" w:rsidP="006658FA">
            <w:pPr>
              <w:jc w:val="center"/>
              <w:rPr>
                <w:rFonts w:eastAsia="Calibri"/>
              </w:rPr>
            </w:pPr>
            <w:r w:rsidRPr="00D21644">
              <w:rPr>
                <w:rFonts w:eastAsia="Calibri"/>
              </w:rPr>
              <w:t>0.69</w:t>
            </w:r>
          </w:p>
        </w:tc>
        <w:tc>
          <w:tcPr>
            <w:tcW w:w="1462" w:type="dxa"/>
          </w:tcPr>
          <w:p w:rsidR="00925917" w:rsidRPr="00D21644" w:rsidRDefault="00925917" w:rsidP="006658FA">
            <w:pPr>
              <w:jc w:val="center"/>
              <w:rPr>
                <w:rFonts w:eastAsia="Calibri"/>
              </w:rPr>
            </w:pPr>
            <w:r w:rsidRPr="00D21644">
              <w:rPr>
                <w:rFonts w:eastAsia="Calibri"/>
              </w:rPr>
              <w:t>10.0598%</w:t>
            </w:r>
          </w:p>
        </w:tc>
      </w:tr>
      <w:tr w:rsidR="00925917" w:rsidRPr="00D21644" w:rsidTr="006658FA">
        <w:trPr>
          <w:jc w:val="center"/>
        </w:trPr>
        <w:tc>
          <w:tcPr>
            <w:tcW w:w="618" w:type="dxa"/>
          </w:tcPr>
          <w:p w:rsidR="00925917" w:rsidRPr="00D21644" w:rsidRDefault="00925917" w:rsidP="006658FA">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925917" w:rsidRPr="00D21644" w:rsidRDefault="00925917" w:rsidP="006658FA">
            <w:pPr>
              <w:jc w:val="center"/>
              <w:rPr>
                <w:rFonts w:eastAsia="Calibri"/>
              </w:rPr>
            </w:pPr>
            <w:r w:rsidRPr="00D21644">
              <w:rPr>
                <w:rFonts w:eastAsia="Calibri"/>
              </w:rPr>
              <w:t>Afirme</w:t>
            </w:r>
          </w:p>
        </w:tc>
        <w:tc>
          <w:tcPr>
            <w:tcW w:w="1835" w:type="dxa"/>
          </w:tcPr>
          <w:p w:rsidR="00925917" w:rsidRPr="00D21644" w:rsidRDefault="00925917" w:rsidP="006658FA">
            <w:pPr>
              <w:jc w:val="center"/>
              <w:rPr>
                <w:rFonts w:eastAsia="Calibri"/>
              </w:rPr>
            </w:pPr>
            <w:r w:rsidRPr="00D21644">
              <w:rPr>
                <w:rFonts w:eastAsia="Calibri"/>
              </w:rPr>
              <w:t>Afirme 1</w:t>
            </w:r>
          </w:p>
        </w:tc>
        <w:tc>
          <w:tcPr>
            <w:tcW w:w="2036" w:type="dxa"/>
          </w:tcPr>
          <w:p w:rsidR="00925917" w:rsidRPr="00D21644" w:rsidRDefault="00925917" w:rsidP="006658FA">
            <w:pPr>
              <w:jc w:val="center"/>
              <w:rPr>
                <w:rFonts w:eastAsia="Calibri"/>
              </w:rPr>
            </w:pPr>
            <w:r w:rsidRPr="00D21644">
              <w:rPr>
                <w:rFonts w:eastAsia="Calibri"/>
              </w:rPr>
              <w:t>$500'000,000.00</w:t>
            </w:r>
          </w:p>
        </w:tc>
        <w:tc>
          <w:tcPr>
            <w:tcW w:w="1310" w:type="dxa"/>
          </w:tcPr>
          <w:p w:rsidR="00925917" w:rsidRPr="00D21644" w:rsidRDefault="00925917" w:rsidP="006658FA">
            <w:pPr>
              <w:jc w:val="center"/>
              <w:rPr>
                <w:rFonts w:eastAsia="Calibri"/>
              </w:rPr>
            </w:pPr>
            <w:r w:rsidRPr="00D21644">
              <w:rPr>
                <w:rFonts w:eastAsia="Calibri"/>
              </w:rPr>
              <w:t>0.75</w:t>
            </w:r>
          </w:p>
        </w:tc>
        <w:tc>
          <w:tcPr>
            <w:tcW w:w="1462" w:type="dxa"/>
          </w:tcPr>
          <w:p w:rsidR="00925917" w:rsidRPr="00D21644" w:rsidRDefault="00925917" w:rsidP="006658FA">
            <w:pPr>
              <w:jc w:val="center"/>
              <w:rPr>
                <w:rFonts w:eastAsia="Calibri"/>
              </w:rPr>
            </w:pPr>
            <w:r w:rsidRPr="00D21644">
              <w:rPr>
                <w:rFonts w:eastAsia="Calibri"/>
              </w:rPr>
              <w:t>10.1197%</w:t>
            </w:r>
          </w:p>
        </w:tc>
      </w:tr>
    </w:tbl>
    <w:p w:rsidR="00925917" w:rsidRPr="00D21644" w:rsidRDefault="00925917" w:rsidP="00925917">
      <w:pPr>
        <w:rPr>
          <w:rFonts w:eastAsia="Calibri"/>
          <w:sz w:val="22"/>
          <w:szCs w:val="22"/>
        </w:rPr>
      </w:pPr>
      <w:r w:rsidRPr="00D21644">
        <w:rPr>
          <w:rFonts w:eastAsia="Calibri"/>
          <w:b/>
          <w:sz w:val="22"/>
          <w:szCs w:val="22"/>
        </w:rPr>
        <w:t>1</w:t>
      </w:r>
      <w:r w:rsidRPr="00D21644">
        <w:rPr>
          <w:rFonts w:eastAsia="Calibri"/>
          <w:sz w:val="22"/>
          <w:szCs w:val="22"/>
        </w:rPr>
        <w:t xml:space="preserve"> Se refiere a la sobretasa aplicable al nivel de la Calificación Preliminar en escala nacional de AA-, o su equivalente.</w:t>
      </w:r>
    </w:p>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sidRPr="00D21644">
        <w:rPr>
          <w:rFonts w:eastAsia="Calibri"/>
          <w:sz w:val="22"/>
          <w:szCs w:val="22"/>
        </w:rPr>
        <w:t>Por lo anterior, después de realizar la comparación de la Tasa Efectiva de las distintas Ofertas Calificadas y considerando que: (i) el Estado recibió Ofertas Calificadas por un monto superior al Monto Total del Financiamiento; y (ii) la Sobretasa aplicable de las Ofertas Calificadas con las mejores tasas efectivas hasta por el Monto Total del Financiamiento Solicitado dan como resultado una sobretasa promedio ponderada de 0.50% (cero punto cincuenta por ciento), la Secretaría determina adjudicar el Monto Total del Financiamiento, seleccionando aquellas Ofertas Calificadas que representan el menor costo financiero en atención a los criterios de adjudicación previstos en el numeral 6 de las Bases de la Licitación.</w:t>
      </w:r>
    </w:p>
    <w:p w:rsidR="00925917" w:rsidRPr="00D21644" w:rsidRDefault="00925917" w:rsidP="00925917">
      <w:pPr>
        <w:rPr>
          <w:rFonts w:eastAsia="Calibri"/>
          <w:sz w:val="22"/>
          <w:szCs w:val="22"/>
        </w:rPr>
      </w:pPr>
    </w:p>
    <w:p w:rsidR="00925917" w:rsidRDefault="00925917" w:rsidP="00925917">
      <w:pPr>
        <w:rPr>
          <w:rFonts w:eastAsia="Calibri"/>
          <w:sz w:val="22"/>
          <w:szCs w:val="22"/>
        </w:rPr>
      </w:pPr>
      <w:r w:rsidRPr="00D21644">
        <w:rPr>
          <w:rFonts w:eastAsia="Calibri"/>
          <w:sz w:val="22"/>
          <w:szCs w:val="22"/>
        </w:rPr>
        <w:t>La Secretaría de Finanzas y Administración declaró Ofertas Ganadoras las siguientes Ofertas Calificadas, y adjudicó a cada Licitante Ganador respecto de cada Oferta Calificada, el monto adjudicado quedo como sigue:</w:t>
      </w:r>
    </w:p>
    <w:p w:rsidR="00925917" w:rsidRDefault="00925917" w:rsidP="00925917">
      <w:pPr>
        <w:rPr>
          <w:rFonts w:eastAsia="Calibri"/>
          <w:sz w:val="22"/>
          <w:szCs w:val="22"/>
        </w:rPr>
      </w:pPr>
    </w:p>
    <w:tbl>
      <w:tblPr>
        <w:tblStyle w:val="Tablaconcuadrcula"/>
        <w:tblW w:w="0" w:type="auto"/>
        <w:jc w:val="center"/>
        <w:tblLook w:val="04A0" w:firstRow="1" w:lastRow="0" w:firstColumn="1" w:lastColumn="0" w:noHBand="0" w:noVBand="1"/>
      </w:tblPr>
      <w:tblGrid>
        <w:gridCol w:w="426"/>
        <w:gridCol w:w="1159"/>
        <w:gridCol w:w="1474"/>
        <w:gridCol w:w="1725"/>
        <w:gridCol w:w="1264"/>
        <w:gridCol w:w="1055"/>
        <w:gridCol w:w="1725"/>
      </w:tblGrid>
      <w:tr w:rsidR="00925917" w:rsidRPr="00D21644" w:rsidTr="006658FA">
        <w:trPr>
          <w:jc w:val="center"/>
        </w:trPr>
        <w:tc>
          <w:tcPr>
            <w:tcW w:w="457" w:type="dxa"/>
            <w:shd w:val="clear" w:color="auto" w:fill="E7E6E6" w:themeFill="background2"/>
            <w:vAlign w:val="center"/>
          </w:tcPr>
          <w:p w:rsidR="00925917" w:rsidRPr="00650B7A" w:rsidRDefault="00925917" w:rsidP="006658FA">
            <w:pPr>
              <w:jc w:val="center"/>
              <w:rPr>
                <w:rFonts w:eastAsia="Calibri"/>
                <w:b/>
                <w:sz w:val="20"/>
                <w:szCs w:val="20"/>
              </w:rPr>
            </w:pPr>
            <w:r w:rsidRPr="00650B7A">
              <w:rPr>
                <w:rFonts w:eastAsia="Calibri"/>
                <w:b/>
                <w:sz w:val="20"/>
                <w:szCs w:val="20"/>
              </w:rPr>
              <w:t>N°</w:t>
            </w:r>
          </w:p>
        </w:tc>
        <w:tc>
          <w:tcPr>
            <w:tcW w:w="1297" w:type="dxa"/>
            <w:shd w:val="clear" w:color="auto" w:fill="E7E6E6" w:themeFill="background2"/>
            <w:vAlign w:val="center"/>
          </w:tcPr>
          <w:p w:rsidR="00925917" w:rsidRPr="00650B7A" w:rsidRDefault="00925917" w:rsidP="006658FA">
            <w:pPr>
              <w:jc w:val="center"/>
              <w:rPr>
                <w:rFonts w:eastAsia="Calibri"/>
                <w:b/>
                <w:sz w:val="20"/>
                <w:szCs w:val="20"/>
              </w:rPr>
            </w:pPr>
            <w:r w:rsidRPr="00650B7A">
              <w:rPr>
                <w:rFonts w:eastAsia="Calibri"/>
                <w:b/>
                <w:sz w:val="20"/>
                <w:szCs w:val="20"/>
              </w:rPr>
              <w:t>Licitante</w:t>
            </w:r>
          </w:p>
        </w:tc>
        <w:tc>
          <w:tcPr>
            <w:tcW w:w="1657" w:type="dxa"/>
            <w:shd w:val="clear" w:color="auto" w:fill="E7E6E6" w:themeFill="background2"/>
            <w:vAlign w:val="center"/>
          </w:tcPr>
          <w:p w:rsidR="00925917" w:rsidRPr="00650B7A" w:rsidRDefault="00925917" w:rsidP="006658FA">
            <w:pPr>
              <w:jc w:val="center"/>
              <w:rPr>
                <w:rFonts w:eastAsia="Calibri"/>
                <w:b/>
                <w:sz w:val="20"/>
                <w:szCs w:val="20"/>
              </w:rPr>
            </w:pPr>
            <w:r w:rsidRPr="00650B7A">
              <w:rPr>
                <w:rFonts w:eastAsia="Calibri"/>
                <w:b/>
                <w:sz w:val="20"/>
                <w:szCs w:val="20"/>
              </w:rPr>
              <w:t>Denominación Oferta</w:t>
            </w:r>
          </w:p>
        </w:tc>
        <w:tc>
          <w:tcPr>
            <w:tcW w:w="1945" w:type="dxa"/>
            <w:shd w:val="clear" w:color="auto" w:fill="E7E6E6" w:themeFill="background2"/>
            <w:vAlign w:val="center"/>
          </w:tcPr>
          <w:p w:rsidR="00925917" w:rsidRPr="00650B7A" w:rsidRDefault="00925917" w:rsidP="006658FA">
            <w:pPr>
              <w:jc w:val="center"/>
              <w:rPr>
                <w:rFonts w:eastAsia="Calibri"/>
                <w:b/>
                <w:sz w:val="20"/>
                <w:szCs w:val="20"/>
              </w:rPr>
            </w:pPr>
            <w:r w:rsidRPr="00650B7A">
              <w:rPr>
                <w:rFonts w:eastAsia="Calibri"/>
                <w:b/>
                <w:sz w:val="20"/>
                <w:szCs w:val="20"/>
              </w:rPr>
              <w:t>Monto ofertado</w:t>
            </w:r>
          </w:p>
        </w:tc>
        <w:tc>
          <w:tcPr>
            <w:tcW w:w="1417" w:type="dxa"/>
            <w:shd w:val="clear" w:color="auto" w:fill="E7E6E6" w:themeFill="background2"/>
            <w:vAlign w:val="center"/>
          </w:tcPr>
          <w:p w:rsidR="00925917" w:rsidRPr="00650B7A" w:rsidRDefault="00925917" w:rsidP="006658FA">
            <w:pPr>
              <w:jc w:val="center"/>
              <w:rPr>
                <w:rFonts w:eastAsia="Calibri"/>
                <w:b/>
                <w:sz w:val="20"/>
                <w:szCs w:val="20"/>
              </w:rPr>
            </w:pPr>
            <w:r w:rsidRPr="00650B7A">
              <w:rPr>
                <w:rFonts w:eastAsia="Calibri"/>
                <w:b/>
                <w:sz w:val="20"/>
                <w:szCs w:val="20"/>
              </w:rPr>
              <w:t>Sobretasa aplicable1</w:t>
            </w:r>
          </w:p>
        </w:tc>
        <w:tc>
          <w:tcPr>
            <w:tcW w:w="1177" w:type="dxa"/>
            <w:shd w:val="clear" w:color="auto" w:fill="E7E6E6" w:themeFill="background2"/>
          </w:tcPr>
          <w:p w:rsidR="00925917" w:rsidRPr="00650B7A" w:rsidRDefault="00925917" w:rsidP="006658FA">
            <w:pPr>
              <w:jc w:val="center"/>
              <w:rPr>
                <w:rFonts w:eastAsia="Calibri"/>
                <w:b/>
                <w:sz w:val="20"/>
                <w:szCs w:val="20"/>
              </w:rPr>
            </w:pPr>
            <w:r w:rsidRPr="00650B7A">
              <w:rPr>
                <w:rFonts w:eastAsia="Calibri"/>
                <w:b/>
                <w:sz w:val="20"/>
                <w:szCs w:val="20"/>
              </w:rPr>
              <w:t>Tasa Efectiva</w:t>
            </w:r>
          </w:p>
        </w:tc>
        <w:tc>
          <w:tcPr>
            <w:tcW w:w="1979" w:type="dxa"/>
            <w:shd w:val="clear" w:color="auto" w:fill="E7E6E6" w:themeFill="background2"/>
          </w:tcPr>
          <w:p w:rsidR="00925917" w:rsidRPr="00650B7A" w:rsidRDefault="00925917" w:rsidP="006658FA">
            <w:pPr>
              <w:jc w:val="center"/>
              <w:rPr>
                <w:rFonts w:eastAsia="Calibri"/>
                <w:b/>
                <w:sz w:val="20"/>
                <w:szCs w:val="20"/>
              </w:rPr>
            </w:pPr>
            <w:r w:rsidRPr="00650B7A">
              <w:rPr>
                <w:rFonts w:eastAsia="Calibri"/>
                <w:b/>
                <w:sz w:val="20"/>
                <w:szCs w:val="20"/>
              </w:rPr>
              <w:t>Monto Adjudicado</w:t>
            </w:r>
          </w:p>
        </w:tc>
      </w:tr>
      <w:tr w:rsidR="00925917" w:rsidRPr="00D21644" w:rsidTr="006658FA">
        <w:trPr>
          <w:jc w:val="center"/>
        </w:trPr>
        <w:tc>
          <w:tcPr>
            <w:tcW w:w="457" w:type="dxa"/>
          </w:tcPr>
          <w:p w:rsidR="00925917" w:rsidRPr="00D21644" w:rsidRDefault="00925917" w:rsidP="006658FA">
            <w:pPr>
              <w:jc w:val="center"/>
              <w:rPr>
                <w:rFonts w:eastAsia="Calibri"/>
              </w:rPr>
            </w:pPr>
            <w:r w:rsidRPr="00D21644">
              <w:rPr>
                <w:rFonts w:eastAsia="Calibri"/>
              </w:rPr>
              <w:t>1</w:t>
            </w:r>
          </w:p>
        </w:tc>
        <w:tc>
          <w:tcPr>
            <w:tcW w:w="1297" w:type="dxa"/>
          </w:tcPr>
          <w:p w:rsidR="00925917" w:rsidRPr="00650B7A" w:rsidRDefault="00925917" w:rsidP="006658FA">
            <w:pPr>
              <w:jc w:val="center"/>
              <w:rPr>
                <w:rFonts w:eastAsia="Calibri"/>
                <w:sz w:val="16"/>
                <w:szCs w:val="16"/>
              </w:rPr>
            </w:pPr>
            <w:r w:rsidRPr="00650B7A">
              <w:rPr>
                <w:rFonts w:eastAsia="Calibri"/>
                <w:sz w:val="16"/>
                <w:szCs w:val="16"/>
              </w:rPr>
              <w:t>Banorte</w:t>
            </w:r>
          </w:p>
        </w:tc>
        <w:tc>
          <w:tcPr>
            <w:tcW w:w="1657" w:type="dxa"/>
          </w:tcPr>
          <w:p w:rsidR="00925917" w:rsidRPr="00650B7A" w:rsidRDefault="00925917" w:rsidP="006658FA">
            <w:pPr>
              <w:jc w:val="center"/>
              <w:rPr>
                <w:rFonts w:eastAsia="Calibri"/>
                <w:sz w:val="16"/>
                <w:szCs w:val="16"/>
              </w:rPr>
            </w:pPr>
            <w:r w:rsidRPr="00650B7A">
              <w:rPr>
                <w:rFonts w:eastAsia="Calibri"/>
                <w:sz w:val="16"/>
                <w:szCs w:val="16"/>
              </w:rPr>
              <w:t>Banorte 1</w:t>
            </w:r>
          </w:p>
        </w:tc>
        <w:tc>
          <w:tcPr>
            <w:tcW w:w="1945" w:type="dxa"/>
          </w:tcPr>
          <w:p w:rsidR="00925917" w:rsidRPr="00650B7A" w:rsidRDefault="00925917" w:rsidP="006658FA">
            <w:pPr>
              <w:jc w:val="center"/>
              <w:rPr>
                <w:rFonts w:eastAsia="Calibri"/>
                <w:sz w:val="16"/>
                <w:szCs w:val="16"/>
              </w:rPr>
            </w:pPr>
            <w:r w:rsidRPr="00650B7A">
              <w:rPr>
                <w:rFonts w:eastAsia="Calibri"/>
                <w:sz w:val="16"/>
                <w:szCs w:val="16"/>
              </w:rPr>
              <w:t>$2,500'000,000.00</w:t>
            </w:r>
          </w:p>
        </w:tc>
        <w:tc>
          <w:tcPr>
            <w:tcW w:w="1417" w:type="dxa"/>
          </w:tcPr>
          <w:p w:rsidR="00925917" w:rsidRPr="00650B7A" w:rsidRDefault="00925917" w:rsidP="006658FA">
            <w:pPr>
              <w:jc w:val="center"/>
              <w:rPr>
                <w:rFonts w:eastAsia="Calibri"/>
                <w:sz w:val="16"/>
                <w:szCs w:val="16"/>
              </w:rPr>
            </w:pPr>
            <w:r w:rsidRPr="00650B7A">
              <w:rPr>
                <w:rFonts w:eastAsia="Calibri"/>
                <w:sz w:val="16"/>
                <w:szCs w:val="16"/>
              </w:rPr>
              <w:t>0.43</w:t>
            </w:r>
          </w:p>
        </w:tc>
        <w:tc>
          <w:tcPr>
            <w:tcW w:w="1177" w:type="dxa"/>
          </w:tcPr>
          <w:p w:rsidR="00925917" w:rsidRPr="00650B7A" w:rsidRDefault="00925917" w:rsidP="006658FA">
            <w:pPr>
              <w:jc w:val="center"/>
              <w:rPr>
                <w:rFonts w:eastAsia="Calibri"/>
                <w:sz w:val="16"/>
                <w:szCs w:val="16"/>
              </w:rPr>
            </w:pPr>
            <w:r w:rsidRPr="00650B7A">
              <w:rPr>
                <w:rFonts w:eastAsia="Calibri"/>
                <w:sz w:val="16"/>
                <w:szCs w:val="16"/>
              </w:rPr>
              <w:t>9.8002%</w:t>
            </w:r>
          </w:p>
        </w:tc>
        <w:tc>
          <w:tcPr>
            <w:tcW w:w="1979" w:type="dxa"/>
          </w:tcPr>
          <w:p w:rsidR="00925917" w:rsidRPr="00650B7A" w:rsidRDefault="00925917" w:rsidP="006658FA">
            <w:pPr>
              <w:jc w:val="center"/>
              <w:rPr>
                <w:rFonts w:eastAsia="Calibri"/>
                <w:sz w:val="16"/>
                <w:szCs w:val="16"/>
              </w:rPr>
            </w:pPr>
            <w:r w:rsidRPr="00650B7A">
              <w:rPr>
                <w:rFonts w:eastAsia="Calibri"/>
                <w:sz w:val="16"/>
                <w:szCs w:val="16"/>
              </w:rPr>
              <w:t>$2,500'000,000.00</w:t>
            </w:r>
          </w:p>
        </w:tc>
      </w:tr>
      <w:tr w:rsidR="00925917" w:rsidRPr="00D21644" w:rsidTr="006658FA">
        <w:trPr>
          <w:jc w:val="center"/>
        </w:trPr>
        <w:tc>
          <w:tcPr>
            <w:tcW w:w="457" w:type="dxa"/>
          </w:tcPr>
          <w:p w:rsidR="00925917" w:rsidRPr="00D21644" w:rsidRDefault="00925917" w:rsidP="006658FA">
            <w:pPr>
              <w:jc w:val="center"/>
              <w:rPr>
                <w:rFonts w:eastAsia="Calibri"/>
              </w:rPr>
            </w:pPr>
            <w:r w:rsidRPr="00D21644">
              <w:rPr>
                <w:rFonts w:eastAsia="Calibri"/>
              </w:rPr>
              <w:t>2</w:t>
            </w:r>
          </w:p>
        </w:tc>
        <w:tc>
          <w:tcPr>
            <w:tcW w:w="1297" w:type="dxa"/>
          </w:tcPr>
          <w:p w:rsidR="00925917" w:rsidRPr="00650B7A" w:rsidRDefault="00925917" w:rsidP="006658FA">
            <w:pPr>
              <w:jc w:val="center"/>
              <w:rPr>
                <w:rFonts w:eastAsia="Calibri"/>
                <w:sz w:val="16"/>
                <w:szCs w:val="16"/>
              </w:rPr>
            </w:pPr>
            <w:r w:rsidRPr="00650B7A">
              <w:rPr>
                <w:rFonts w:eastAsia="Calibri"/>
                <w:sz w:val="16"/>
                <w:szCs w:val="16"/>
              </w:rPr>
              <w:t>BBVA</w:t>
            </w:r>
          </w:p>
        </w:tc>
        <w:tc>
          <w:tcPr>
            <w:tcW w:w="1657" w:type="dxa"/>
          </w:tcPr>
          <w:p w:rsidR="00925917" w:rsidRPr="00650B7A" w:rsidRDefault="00925917" w:rsidP="006658FA">
            <w:pPr>
              <w:jc w:val="center"/>
              <w:rPr>
                <w:rFonts w:eastAsia="Calibri"/>
                <w:sz w:val="16"/>
                <w:szCs w:val="16"/>
              </w:rPr>
            </w:pPr>
            <w:r w:rsidRPr="00650B7A">
              <w:rPr>
                <w:rFonts w:eastAsia="Calibri"/>
                <w:sz w:val="16"/>
                <w:szCs w:val="16"/>
              </w:rPr>
              <w:t>BBVA 1</w:t>
            </w:r>
          </w:p>
        </w:tc>
        <w:tc>
          <w:tcPr>
            <w:tcW w:w="1945" w:type="dxa"/>
          </w:tcPr>
          <w:p w:rsidR="00925917" w:rsidRPr="00650B7A" w:rsidRDefault="00925917" w:rsidP="006658FA">
            <w:pPr>
              <w:jc w:val="center"/>
              <w:rPr>
                <w:rFonts w:eastAsia="Calibri"/>
                <w:sz w:val="16"/>
                <w:szCs w:val="16"/>
              </w:rPr>
            </w:pPr>
            <w:r w:rsidRPr="00650B7A">
              <w:rPr>
                <w:rFonts w:eastAsia="Calibri"/>
                <w:sz w:val="16"/>
                <w:szCs w:val="16"/>
              </w:rPr>
              <w:t>$1,000'000,000.00</w:t>
            </w:r>
          </w:p>
        </w:tc>
        <w:tc>
          <w:tcPr>
            <w:tcW w:w="1417" w:type="dxa"/>
          </w:tcPr>
          <w:p w:rsidR="00925917" w:rsidRPr="00650B7A" w:rsidRDefault="00925917" w:rsidP="006658FA">
            <w:pPr>
              <w:jc w:val="center"/>
              <w:rPr>
                <w:rFonts w:eastAsia="Calibri"/>
                <w:sz w:val="16"/>
                <w:szCs w:val="16"/>
              </w:rPr>
            </w:pPr>
            <w:r w:rsidRPr="00650B7A">
              <w:rPr>
                <w:rFonts w:eastAsia="Calibri"/>
                <w:sz w:val="16"/>
                <w:szCs w:val="16"/>
              </w:rPr>
              <w:t>0.46</w:t>
            </w:r>
          </w:p>
        </w:tc>
        <w:tc>
          <w:tcPr>
            <w:tcW w:w="1177" w:type="dxa"/>
          </w:tcPr>
          <w:p w:rsidR="00925917" w:rsidRPr="00650B7A" w:rsidRDefault="00925917" w:rsidP="006658FA">
            <w:pPr>
              <w:jc w:val="center"/>
              <w:rPr>
                <w:rFonts w:eastAsia="Calibri"/>
                <w:sz w:val="16"/>
                <w:szCs w:val="16"/>
              </w:rPr>
            </w:pPr>
            <w:r w:rsidRPr="00650B7A">
              <w:rPr>
                <w:rFonts w:eastAsia="Calibri"/>
                <w:sz w:val="16"/>
                <w:szCs w:val="16"/>
              </w:rPr>
              <w:t>9.8302%</w:t>
            </w:r>
          </w:p>
        </w:tc>
        <w:tc>
          <w:tcPr>
            <w:tcW w:w="1979" w:type="dxa"/>
          </w:tcPr>
          <w:p w:rsidR="00925917" w:rsidRPr="00650B7A" w:rsidRDefault="00925917" w:rsidP="006658FA">
            <w:pPr>
              <w:jc w:val="center"/>
              <w:rPr>
                <w:rFonts w:eastAsia="Calibri"/>
                <w:sz w:val="16"/>
                <w:szCs w:val="16"/>
              </w:rPr>
            </w:pPr>
            <w:r w:rsidRPr="00650B7A">
              <w:rPr>
                <w:rFonts w:eastAsia="Calibri"/>
                <w:sz w:val="16"/>
                <w:szCs w:val="16"/>
              </w:rPr>
              <w:t>$1,000'000,000.00</w:t>
            </w:r>
          </w:p>
        </w:tc>
      </w:tr>
      <w:tr w:rsidR="00925917" w:rsidRPr="00D21644" w:rsidTr="006658FA">
        <w:trPr>
          <w:jc w:val="center"/>
        </w:trPr>
        <w:tc>
          <w:tcPr>
            <w:tcW w:w="457" w:type="dxa"/>
          </w:tcPr>
          <w:p w:rsidR="00925917" w:rsidRPr="00D21644" w:rsidRDefault="00925917" w:rsidP="006658FA">
            <w:pPr>
              <w:jc w:val="center"/>
              <w:rPr>
                <w:rFonts w:eastAsia="Calibri"/>
              </w:rPr>
            </w:pPr>
            <w:r w:rsidRPr="00D21644">
              <w:rPr>
                <w:rFonts w:eastAsia="Calibri"/>
              </w:rPr>
              <w:lastRenderedPageBreak/>
              <w:t>3</w:t>
            </w:r>
          </w:p>
        </w:tc>
        <w:tc>
          <w:tcPr>
            <w:tcW w:w="1297" w:type="dxa"/>
          </w:tcPr>
          <w:p w:rsidR="00925917" w:rsidRPr="00650B7A" w:rsidRDefault="00925917" w:rsidP="006658FA">
            <w:pPr>
              <w:jc w:val="center"/>
              <w:rPr>
                <w:rFonts w:eastAsia="Calibri"/>
                <w:sz w:val="16"/>
                <w:szCs w:val="16"/>
              </w:rPr>
            </w:pPr>
            <w:r w:rsidRPr="00650B7A">
              <w:rPr>
                <w:rFonts w:eastAsia="Calibri"/>
                <w:sz w:val="16"/>
                <w:szCs w:val="16"/>
              </w:rPr>
              <w:t>Banorte</w:t>
            </w:r>
          </w:p>
        </w:tc>
        <w:tc>
          <w:tcPr>
            <w:tcW w:w="1657" w:type="dxa"/>
          </w:tcPr>
          <w:p w:rsidR="00925917" w:rsidRPr="00650B7A" w:rsidRDefault="00925917" w:rsidP="006658FA">
            <w:pPr>
              <w:jc w:val="center"/>
              <w:rPr>
                <w:rFonts w:eastAsia="Calibri"/>
                <w:sz w:val="16"/>
                <w:szCs w:val="16"/>
              </w:rPr>
            </w:pPr>
            <w:r w:rsidRPr="00650B7A">
              <w:rPr>
                <w:rFonts w:eastAsia="Calibri"/>
                <w:sz w:val="16"/>
                <w:szCs w:val="16"/>
              </w:rPr>
              <w:t>Banorte 2</w:t>
            </w:r>
          </w:p>
        </w:tc>
        <w:tc>
          <w:tcPr>
            <w:tcW w:w="1945" w:type="dxa"/>
          </w:tcPr>
          <w:p w:rsidR="00925917" w:rsidRPr="00650B7A" w:rsidRDefault="00925917" w:rsidP="006658FA">
            <w:pPr>
              <w:jc w:val="center"/>
              <w:rPr>
                <w:rFonts w:eastAsia="Calibri"/>
                <w:sz w:val="16"/>
                <w:szCs w:val="16"/>
              </w:rPr>
            </w:pPr>
            <w:r w:rsidRPr="00650B7A">
              <w:rPr>
                <w:rFonts w:eastAsia="Calibri"/>
                <w:sz w:val="16"/>
                <w:szCs w:val="16"/>
              </w:rPr>
              <w:t>$2,500'000,000.00</w:t>
            </w:r>
          </w:p>
        </w:tc>
        <w:tc>
          <w:tcPr>
            <w:tcW w:w="1417" w:type="dxa"/>
          </w:tcPr>
          <w:p w:rsidR="00925917" w:rsidRPr="00650B7A" w:rsidRDefault="00925917" w:rsidP="006658FA">
            <w:pPr>
              <w:jc w:val="center"/>
              <w:rPr>
                <w:rFonts w:eastAsia="Calibri"/>
                <w:sz w:val="16"/>
                <w:szCs w:val="16"/>
              </w:rPr>
            </w:pPr>
            <w:r w:rsidRPr="00650B7A">
              <w:rPr>
                <w:rFonts w:eastAsia="Calibri"/>
                <w:sz w:val="16"/>
                <w:szCs w:val="16"/>
              </w:rPr>
              <w:t>0.48</w:t>
            </w:r>
          </w:p>
        </w:tc>
        <w:tc>
          <w:tcPr>
            <w:tcW w:w="1177" w:type="dxa"/>
          </w:tcPr>
          <w:p w:rsidR="00925917" w:rsidRPr="00650B7A" w:rsidRDefault="00925917" w:rsidP="006658FA">
            <w:pPr>
              <w:jc w:val="center"/>
              <w:rPr>
                <w:rFonts w:eastAsia="Calibri"/>
                <w:sz w:val="16"/>
                <w:szCs w:val="16"/>
              </w:rPr>
            </w:pPr>
            <w:r w:rsidRPr="00650B7A">
              <w:rPr>
                <w:rFonts w:eastAsia="Calibri"/>
                <w:sz w:val="16"/>
                <w:szCs w:val="16"/>
              </w:rPr>
              <w:t>9.8501%</w:t>
            </w:r>
          </w:p>
        </w:tc>
        <w:tc>
          <w:tcPr>
            <w:tcW w:w="1979" w:type="dxa"/>
          </w:tcPr>
          <w:p w:rsidR="00925917" w:rsidRPr="00650B7A" w:rsidRDefault="00925917" w:rsidP="006658FA">
            <w:pPr>
              <w:jc w:val="center"/>
              <w:rPr>
                <w:rFonts w:eastAsia="Calibri"/>
                <w:sz w:val="16"/>
                <w:szCs w:val="16"/>
              </w:rPr>
            </w:pPr>
            <w:r w:rsidRPr="00650B7A">
              <w:rPr>
                <w:rFonts w:eastAsia="Calibri"/>
                <w:sz w:val="16"/>
                <w:szCs w:val="16"/>
              </w:rPr>
              <w:t>$2,500'000,000.00</w:t>
            </w:r>
          </w:p>
        </w:tc>
      </w:tr>
      <w:tr w:rsidR="00925917" w:rsidRPr="00D21644" w:rsidTr="006658FA">
        <w:trPr>
          <w:jc w:val="center"/>
        </w:trPr>
        <w:tc>
          <w:tcPr>
            <w:tcW w:w="457" w:type="dxa"/>
          </w:tcPr>
          <w:p w:rsidR="00925917" w:rsidRPr="00D21644" w:rsidRDefault="00925917" w:rsidP="006658FA">
            <w:pPr>
              <w:jc w:val="center"/>
              <w:rPr>
                <w:rFonts w:eastAsia="Calibri"/>
              </w:rPr>
            </w:pPr>
            <w:r w:rsidRPr="00D21644">
              <w:rPr>
                <w:rFonts w:eastAsia="Calibri"/>
              </w:rPr>
              <w:t>4</w:t>
            </w:r>
          </w:p>
        </w:tc>
        <w:tc>
          <w:tcPr>
            <w:tcW w:w="1297" w:type="dxa"/>
          </w:tcPr>
          <w:p w:rsidR="00925917" w:rsidRPr="00650B7A" w:rsidRDefault="00925917" w:rsidP="006658FA">
            <w:pPr>
              <w:jc w:val="center"/>
              <w:rPr>
                <w:rFonts w:eastAsia="Calibri"/>
                <w:sz w:val="16"/>
                <w:szCs w:val="16"/>
              </w:rPr>
            </w:pPr>
            <w:r w:rsidRPr="00650B7A">
              <w:rPr>
                <w:rFonts w:eastAsia="Calibri"/>
                <w:sz w:val="16"/>
                <w:szCs w:val="16"/>
              </w:rPr>
              <w:t>Banorte</w:t>
            </w:r>
          </w:p>
        </w:tc>
        <w:tc>
          <w:tcPr>
            <w:tcW w:w="1657" w:type="dxa"/>
          </w:tcPr>
          <w:p w:rsidR="00925917" w:rsidRPr="00650B7A" w:rsidRDefault="00925917" w:rsidP="006658FA">
            <w:pPr>
              <w:jc w:val="center"/>
              <w:rPr>
                <w:rFonts w:eastAsia="Calibri"/>
                <w:sz w:val="16"/>
                <w:szCs w:val="16"/>
              </w:rPr>
            </w:pPr>
            <w:r w:rsidRPr="00650B7A">
              <w:rPr>
                <w:rFonts w:eastAsia="Calibri"/>
                <w:sz w:val="16"/>
                <w:szCs w:val="16"/>
              </w:rPr>
              <w:t>Banorte 3</w:t>
            </w:r>
          </w:p>
        </w:tc>
        <w:tc>
          <w:tcPr>
            <w:tcW w:w="1945" w:type="dxa"/>
          </w:tcPr>
          <w:p w:rsidR="00925917" w:rsidRPr="00650B7A" w:rsidRDefault="00925917" w:rsidP="006658FA">
            <w:pPr>
              <w:jc w:val="center"/>
              <w:rPr>
                <w:rFonts w:eastAsia="Calibri"/>
                <w:sz w:val="16"/>
                <w:szCs w:val="16"/>
              </w:rPr>
            </w:pPr>
            <w:r w:rsidRPr="00650B7A">
              <w:rPr>
                <w:rFonts w:eastAsia="Calibri"/>
                <w:sz w:val="16"/>
                <w:szCs w:val="16"/>
              </w:rPr>
              <w:t>$1,000'000,000.00</w:t>
            </w:r>
          </w:p>
        </w:tc>
        <w:tc>
          <w:tcPr>
            <w:tcW w:w="1417" w:type="dxa"/>
          </w:tcPr>
          <w:p w:rsidR="00925917" w:rsidRPr="00650B7A" w:rsidRDefault="00925917" w:rsidP="006658FA">
            <w:pPr>
              <w:jc w:val="center"/>
              <w:rPr>
                <w:rFonts w:eastAsia="Calibri"/>
                <w:sz w:val="16"/>
                <w:szCs w:val="16"/>
              </w:rPr>
            </w:pPr>
            <w:r w:rsidRPr="00650B7A">
              <w:rPr>
                <w:rFonts w:eastAsia="Calibri"/>
                <w:sz w:val="16"/>
                <w:szCs w:val="16"/>
              </w:rPr>
              <w:t>0.50</w:t>
            </w:r>
          </w:p>
        </w:tc>
        <w:tc>
          <w:tcPr>
            <w:tcW w:w="1177" w:type="dxa"/>
          </w:tcPr>
          <w:p w:rsidR="00925917" w:rsidRPr="00650B7A" w:rsidRDefault="00925917" w:rsidP="006658FA">
            <w:pPr>
              <w:jc w:val="center"/>
              <w:rPr>
                <w:rFonts w:eastAsia="Calibri"/>
                <w:sz w:val="16"/>
                <w:szCs w:val="16"/>
              </w:rPr>
            </w:pPr>
            <w:r w:rsidRPr="00650B7A">
              <w:rPr>
                <w:rFonts w:eastAsia="Calibri"/>
                <w:sz w:val="16"/>
                <w:szCs w:val="16"/>
              </w:rPr>
              <w:t>9.8701%</w:t>
            </w:r>
          </w:p>
        </w:tc>
        <w:tc>
          <w:tcPr>
            <w:tcW w:w="1979" w:type="dxa"/>
          </w:tcPr>
          <w:p w:rsidR="00925917" w:rsidRPr="00650B7A" w:rsidRDefault="00925917" w:rsidP="006658FA">
            <w:pPr>
              <w:jc w:val="center"/>
              <w:rPr>
                <w:rFonts w:eastAsia="Calibri"/>
                <w:sz w:val="16"/>
                <w:szCs w:val="16"/>
              </w:rPr>
            </w:pPr>
            <w:r w:rsidRPr="00650B7A">
              <w:rPr>
                <w:rFonts w:eastAsia="Calibri"/>
                <w:sz w:val="16"/>
                <w:szCs w:val="16"/>
              </w:rPr>
              <w:t>$1,000'000,000.00</w:t>
            </w:r>
          </w:p>
        </w:tc>
      </w:tr>
      <w:tr w:rsidR="00925917" w:rsidRPr="00D21644" w:rsidTr="006658FA">
        <w:trPr>
          <w:jc w:val="center"/>
        </w:trPr>
        <w:tc>
          <w:tcPr>
            <w:tcW w:w="457" w:type="dxa"/>
          </w:tcPr>
          <w:p w:rsidR="00925917" w:rsidRPr="00D21644" w:rsidRDefault="00925917" w:rsidP="006658FA">
            <w:pPr>
              <w:jc w:val="center"/>
              <w:rPr>
                <w:rFonts w:eastAsia="Calibri"/>
              </w:rPr>
            </w:pPr>
            <w:r w:rsidRPr="00D21644">
              <w:rPr>
                <w:rFonts w:eastAsia="Calibri"/>
              </w:rPr>
              <w:t>5</w:t>
            </w:r>
          </w:p>
        </w:tc>
        <w:tc>
          <w:tcPr>
            <w:tcW w:w="1297" w:type="dxa"/>
          </w:tcPr>
          <w:p w:rsidR="00925917" w:rsidRPr="00650B7A" w:rsidRDefault="00925917" w:rsidP="006658FA">
            <w:pPr>
              <w:jc w:val="center"/>
              <w:rPr>
                <w:rFonts w:eastAsia="Calibri"/>
                <w:sz w:val="16"/>
                <w:szCs w:val="16"/>
              </w:rPr>
            </w:pPr>
            <w:r w:rsidRPr="00650B7A">
              <w:rPr>
                <w:rFonts w:eastAsia="Calibri"/>
                <w:sz w:val="16"/>
                <w:szCs w:val="16"/>
              </w:rPr>
              <w:t>Bajío</w:t>
            </w:r>
          </w:p>
        </w:tc>
        <w:tc>
          <w:tcPr>
            <w:tcW w:w="1657" w:type="dxa"/>
          </w:tcPr>
          <w:p w:rsidR="00925917" w:rsidRPr="00650B7A" w:rsidRDefault="00925917" w:rsidP="006658FA">
            <w:pPr>
              <w:jc w:val="center"/>
              <w:rPr>
                <w:rFonts w:eastAsia="Calibri"/>
                <w:sz w:val="16"/>
                <w:szCs w:val="16"/>
              </w:rPr>
            </w:pPr>
            <w:r w:rsidRPr="00650B7A">
              <w:rPr>
                <w:rFonts w:eastAsia="Calibri"/>
                <w:sz w:val="16"/>
                <w:szCs w:val="16"/>
              </w:rPr>
              <w:t>Bajío 1</w:t>
            </w:r>
          </w:p>
        </w:tc>
        <w:tc>
          <w:tcPr>
            <w:tcW w:w="1945" w:type="dxa"/>
          </w:tcPr>
          <w:p w:rsidR="00925917" w:rsidRPr="00650B7A" w:rsidRDefault="00925917" w:rsidP="006658FA">
            <w:pPr>
              <w:jc w:val="center"/>
              <w:rPr>
                <w:rFonts w:eastAsia="Calibri"/>
                <w:sz w:val="16"/>
                <w:szCs w:val="16"/>
              </w:rPr>
            </w:pPr>
            <w:r w:rsidRPr="00650B7A">
              <w:rPr>
                <w:rFonts w:eastAsia="Calibri"/>
                <w:sz w:val="16"/>
                <w:szCs w:val="16"/>
              </w:rPr>
              <w:t>$600'000,000.00</w:t>
            </w:r>
          </w:p>
        </w:tc>
        <w:tc>
          <w:tcPr>
            <w:tcW w:w="1417" w:type="dxa"/>
          </w:tcPr>
          <w:p w:rsidR="00925917" w:rsidRPr="00650B7A" w:rsidRDefault="00925917" w:rsidP="006658FA">
            <w:pPr>
              <w:jc w:val="center"/>
              <w:rPr>
                <w:rFonts w:eastAsia="Calibri"/>
                <w:sz w:val="16"/>
                <w:szCs w:val="16"/>
              </w:rPr>
            </w:pPr>
            <w:r w:rsidRPr="00650B7A">
              <w:rPr>
                <w:rFonts w:eastAsia="Calibri"/>
                <w:sz w:val="16"/>
                <w:szCs w:val="16"/>
              </w:rPr>
              <w:t>0.50</w:t>
            </w:r>
          </w:p>
        </w:tc>
        <w:tc>
          <w:tcPr>
            <w:tcW w:w="1177" w:type="dxa"/>
          </w:tcPr>
          <w:p w:rsidR="00925917" w:rsidRPr="00650B7A" w:rsidRDefault="00925917" w:rsidP="006658FA">
            <w:pPr>
              <w:jc w:val="center"/>
              <w:rPr>
                <w:rFonts w:eastAsia="Calibri"/>
                <w:sz w:val="16"/>
                <w:szCs w:val="16"/>
              </w:rPr>
            </w:pPr>
            <w:r w:rsidRPr="00650B7A">
              <w:rPr>
                <w:rFonts w:eastAsia="Calibri"/>
                <w:sz w:val="16"/>
                <w:szCs w:val="16"/>
              </w:rPr>
              <w:t>9.8701%</w:t>
            </w:r>
          </w:p>
        </w:tc>
        <w:tc>
          <w:tcPr>
            <w:tcW w:w="1979" w:type="dxa"/>
          </w:tcPr>
          <w:p w:rsidR="00925917" w:rsidRPr="00650B7A" w:rsidRDefault="00925917" w:rsidP="006658FA">
            <w:pPr>
              <w:jc w:val="center"/>
              <w:rPr>
                <w:rFonts w:eastAsia="Calibri"/>
                <w:sz w:val="16"/>
                <w:szCs w:val="16"/>
              </w:rPr>
            </w:pPr>
            <w:r w:rsidRPr="00650B7A">
              <w:rPr>
                <w:rFonts w:eastAsia="Calibri"/>
                <w:sz w:val="16"/>
                <w:szCs w:val="16"/>
              </w:rPr>
              <w:t>$600'000,000.00</w:t>
            </w:r>
          </w:p>
        </w:tc>
      </w:tr>
      <w:tr w:rsidR="00925917" w:rsidRPr="00D21644" w:rsidTr="006658FA">
        <w:trPr>
          <w:jc w:val="center"/>
        </w:trPr>
        <w:tc>
          <w:tcPr>
            <w:tcW w:w="457" w:type="dxa"/>
          </w:tcPr>
          <w:p w:rsidR="00925917" w:rsidRPr="00D21644" w:rsidRDefault="00925917" w:rsidP="006658FA">
            <w:pPr>
              <w:jc w:val="center"/>
              <w:rPr>
                <w:rFonts w:eastAsia="Calibri"/>
              </w:rPr>
            </w:pPr>
            <w:r w:rsidRPr="00D21644">
              <w:rPr>
                <w:rFonts w:eastAsia="Calibri"/>
              </w:rPr>
              <w:t>6</w:t>
            </w:r>
          </w:p>
        </w:tc>
        <w:tc>
          <w:tcPr>
            <w:tcW w:w="1297" w:type="dxa"/>
          </w:tcPr>
          <w:p w:rsidR="00925917" w:rsidRPr="00650B7A" w:rsidRDefault="00925917" w:rsidP="006658FA">
            <w:pPr>
              <w:jc w:val="center"/>
              <w:rPr>
                <w:rFonts w:eastAsia="Calibri"/>
                <w:sz w:val="16"/>
                <w:szCs w:val="16"/>
              </w:rPr>
            </w:pPr>
            <w:r w:rsidRPr="00650B7A">
              <w:rPr>
                <w:rFonts w:eastAsia="Calibri"/>
                <w:sz w:val="16"/>
                <w:szCs w:val="16"/>
              </w:rPr>
              <w:t>Azteca</w:t>
            </w:r>
          </w:p>
        </w:tc>
        <w:tc>
          <w:tcPr>
            <w:tcW w:w="1657" w:type="dxa"/>
          </w:tcPr>
          <w:p w:rsidR="00925917" w:rsidRPr="00650B7A" w:rsidRDefault="00925917" w:rsidP="006658FA">
            <w:pPr>
              <w:jc w:val="center"/>
              <w:rPr>
                <w:rFonts w:eastAsia="Calibri"/>
                <w:sz w:val="16"/>
                <w:szCs w:val="16"/>
              </w:rPr>
            </w:pPr>
            <w:r w:rsidRPr="00650B7A">
              <w:rPr>
                <w:rFonts w:eastAsia="Calibri"/>
                <w:sz w:val="16"/>
                <w:szCs w:val="16"/>
              </w:rPr>
              <w:t>Azteca 1</w:t>
            </w:r>
          </w:p>
        </w:tc>
        <w:tc>
          <w:tcPr>
            <w:tcW w:w="1945" w:type="dxa"/>
          </w:tcPr>
          <w:p w:rsidR="00925917" w:rsidRPr="00650B7A" w:rsidRDefault="00925917" w:rsidP="006658FA">
            <w:pPr>
              <w:jc w:val="center"/>
              <w:rPr>
                <w:rFonts w:eastAsia="Calibri"/>
                <w:sz w:val="16"/>
                <w:szCs w:val="16"/>
              </w:rPr>
            </w:pPr>
            <w:r w:rsidRPr="00650B7A">
              <w:rPr>
                <w:rFonts w:eastAsia="Calibri"/>
                <w:sz w:val="16"/>
                <w:szCs w:val="16"/>
              </w:rPr>
              <w:t>$500'000,000.00</w:t>
            </w:r>
          </w:p>
        </w:tc>
        <w:tc>
          <w:tcPr>
            <w:tcW w:w="1417" w:type="dxa"/>
          </w:tcPr>
          <w:p w:rsidR="00925917" w:rsidRPr="00650B7A" w:rsidRDefault="00925917" w:rsidP="006658FA">
            <w:pPr>
              <w:jc w:val="center"/>
              <w:rPr>
                <w:rFonts w:eastAsia="Calibri"/>
                <w:sz w:val="16"/>
                <w:szCs w:val="16"/>
              </w:rPr>
            </w:pPr>
            <w:r w:rsidRPr="00650B7A">
              <w:rPr>
                <w:rFonts w:eastAsia="Calibri"/>
                <w:sz w:val="16"/>
                <w:szCs w:val="16"/>
              </w:rPr>
              <w:t>0.50</w:t>
            </w:r>
          </w:p>
        </w:tc>
        <w:tc>
          <w:tcPr>
            <w:tcW w:w="1177" w:type="dxa"/>
          </w:tcPr>
          <w:p w:rsidR="00925917" w:rsidRPr="00650B7A" w:rsidRDefault="00925917" w:rsidP="006658FA">
            <w:pPr>
              <w:jc w:val="center"/>
              <w:rPr>
                <w:rFonts w:eastAsia="Calibri"/>
                <w:sz w:val="16"/>
                <w:szCs w:val="16"/>
              </w:rPr>
            </w:pPr>
            <w:r w:rsidRPr="00650B7A">
              <w:rPr>
                <w:rFonts w:eastAsia="Calibri"/>
                <w:sz w:val="16"/>
                <w:szCs w:val="16"/>
              </w:rPr>
              <w:t>9.8701%</w:t>
            </w:r>
          </w:p>
        </w:tc>
        <w:tc>
          <w:tcPr>
            <w:tcW w:w="1979" w:type="dxa"/>
          </w:tcPr>
          <w:p w:rsidR="00925917" w:rsidRPr="00650B7A" w:rsidRDefault="00925917" w:rsidP="006658FA">
            <w:pPr>
              <w:jc w:val="center"/>
              <w:rPr>
                <w:rFonts w:eastAsia="Calibri"/>
                <w:sz w:val="16"/>
                <w:szCs w:val="16"/>
              </w:rPr>
            </w:pPr>
            <w:r w:rsidRPr="00650B7A">
              <w:rPr>
                <w:rFonts w:eastAsia="Calibri"/>
                <w:sz w:val="16"/>
                <w:szCs w:val="16"/>
              </w:rPr>
              <w:t>$500'000,000.00</w:t>
            </w:r>
          </w:p>
        </w:tc>
      </w:tr>
      <w:tr w:rsidR="00925917" w:rsidRPr="00D21644" w:rsidTr="006658FA">
        <w:trPr>
          <w:trHeight w:val="142"/>
          <w:jc w:val="center"/>
        </w:trPr>
        <w:tc>
          <w:tcPr>
            <w:tcW w:w="457" w:type="dxa"/>
          </w:tcPr>
          <w:p w:rsidR="00925917" w:rsidRPr="00D21644" w:rsidRDefault="00925917" w:rsidP="006658FA">
            <w:pPr>
              <w:jc w:val="center"/>
              <w:rPr>
                <w:rFonts w:eastAsia="Calibri"/>
              </w:rPr>
            </w:pPr>
            <w:r w:rsidRPr="00D21644">
              <w:rPr>
                <w:rFonts w:eastAsia="Calibri"/>
              </w:rPr>
              <w:t>7</w:t>
            </w:r>
          </w:p>
        </w:tc>
        <w:tc>
          <w:tcPr>
            <w:tcW w:w="1297" w:type="dxa"/>
          </w:tcPr>
          <w:p w:rsidR="00925917" w:rsidRPr="00650B7A" w:rsidRDefault="00925917" w:rsidP="006658FA">
            <w:pPr>
              <w:jc w:val="center"/>
              <w:rPr>
                <w:rFonts w:eastAsia="Calibri"/>
                <w:sz w:val="16"/>
                <w:szCs w:val="16"/>
              </w:rPr>
            </w:pPr>
            <w:proofErr w:type="spellStart"/>
            <w:r w:rsidRPr="00650B7A">
              <w:rPr>
                <w:rFonts w:eastAsia="Calibri"/>
                <w:sz w:val="16"/>
                <w:szCs w:val="16"/>
              </w:rPr>
              <w:t>Banobras</w:t>
            </w:r>
            <w:proofErr w:type="spellEnd"/>
          </w:p>
        </w:tc>
        <w:tc>
          <w:tcPr>
            <w:tcW w:w="1657" w:type="dxa"/>
          </w:tcPr>
          <w:p w:rsidR="00925917" w:rsidRPr="00650B7A" w:rsidRDefault="00925917" w:rsidP="006658FA">
            <w:pPr>
              <w:jc w:val="center"/>
              <w:rPr>
                <w:rFonts w:eastAsia="Calibri"/>
                <w:sz w:val="16"/>
                <w:szCs w:val="16"/>
              </w:rPr>
            </w:pPr>
            <w:proofErr w:type="spellStart"/>
            <w:r w:rsidRPr="00650B7A">
              <w:rPr>
                <w:rFonts w:eastAsia="Calibri"/>
                <w:sz w:val="16"/>
                <w:szCs w:val="16"/>
              </w:rPr>
              <w:t>Banobras</w:t>
            </w:r>
            <w:proofErr w:type="spellEnd"/>
            <w:r w:rsidRPr="00650B7A">
              <w:rPr>
                <w:rFonts w:eastAsia="Calibri"/>
                <w:sz w:val="16"/>
                <w:szCs w:val="16"/>
              </w:rPr>
              <w:t xml:space="preserve"> 1</w:t>
            </w:r>
          </w:p>
        </w:tc>
        <w:tc>
          <w:tcPr>
            <w:tcW w:w="1945" w:type="dxa"/>
          </w:tcPr>
          <w:p w:rsidR="00925917" w:rsidRPr="00650B7A" w:rsidRDefault="00925917" w:rsidP="006658FA">
            <w:pPr>
              <w:jc w:val="center"/>
              <w:rPr>
                <w:rFonts w:eastAsia="Calibri"/>
                <w:sz w:val="16"/>
                <w:szCs w:val="16"/>
              </w:rPr>
            </w:pPr>
            <w:r w:rsidRPr="00650B7A">
              <w:rPr>
                <w:rFonts w:eastAsia="Calibri"/>
                <w:sz w:val="16"/>
                <w:szCs w:val="16"/>
              </w:rPr>
              <w:t>$13,273'189,538.91</w:t>
            </w:r>
          </w:p>
        </w:tc>
        <w:tc>
          <w:tcPr>
            <w:tcW w:w="1417" w:type="dxa"/>
          </w:tcPr>
          <w:p w:rsidR="00925917" w:rsidRPr="00650B7A" w:rsidRDefault="00925917" w:rsidP="006658FA">
            <w:pPr>
              <w:jc w:val="center"/>
              <w:rPr>
                <w:rFonts w:eastAsia="Calibri"/>
                <w:sz w:val="16"/>
                <w:szCs w:val="16"/>
              </w:rPr>
            </w:pPr>
            <w:r w:rsidRPr="00650B7A">
              <w:rPr>
                <w:rFonts w:eastAsia="Calibri"/>
                <w:sz w:val="16"/>
                <w:szCs w:val="16"/>
              </w:rPr>
              <w:t>0.53</w:t>
            </w:r>
          </w:p>
        </w:tc>
        <w:tc>
          <w:tcPr>
            <w:tcW w:w="1177" w:type="dxa"/>
          </w:tcPr>
          <w:p w:rsidR="00925917" w:rsidRPr="00650B7A" w:rsidRDefault="00925917" w:rsidP="006658FA">
            <w:pPr>
              <w:jc w:val="center"/>
              <w:rPr>
                <w:rFonts w:eastAsia="Calibri"/>
                <w:sz w:val="16"/>
                <w:szCs w:val="16"/>
              </w:rPr>
            </w:pPr>
            <w:r w:rsidRPr="00650B7A">
              <w:rPr>
                <w:rFonts w:eastAsia="Calibri"/>
                <w:sz w:val="16"/>
                <w:szCs w:val="16"/>
              </w:rPr>
              <w:t>9.9000%</w:t>
            </w:r>
          </w:p>
        </w:tc>
        <w:tc>
          <w:tcPr>
            <w:tcW w:w="1979" w:type="dxa"/>
          </w:tcPr>
          <w:p w:rsidR="00925917" w:rsidRPr="00650B7A" w:rsidRDefault="00925917" w:rsidP="006658FA">
            <w:pPr>
              <w:jc w:val="center"/>
              <w:rPr>
                <w:rFonts w:eastAsia="Calibri"/>
                <w:sz w:val="16"/>
                <w:szCs w:val="16"/>
              </w:rPr>
            </w:pPr>
            <w:r w:rsidRPr="00650B7A">
              <w:rPr>
                <w:rFonts w:eastAsia="Calibri"/>
                <w:sz w:val="16"/>
                <w:szCs w:val="16"/>
              </w:rPr>
              <w:t>$11,492'133,677.49</w:t>
            </w:r>
          </w:p>
        </w:tc>
      </w:tr>
    </w:tbl>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sidRPr="00D21644">
        <w:rPr>
          <w:rFonts w:eastAsia="Calibri"/>
          <w:sz w:val="22"/>
          <w:szCs w:val="22"/>
        </w:rPr>
        <w:t>Cabe señalar, que la adjudicación de las Ofertas Ganadoras antes señaladas, hasta por el monto adjudicado a cada una, dio cumplimiento al Artículo Segundo Transitorio del Decreto 189, toda vez que la sobretasa promedio ponderada adjudicada que fue de 0.50%, es inferior a la sobretasa promedio ponderada de la deuda actual de largo plazo del Estado, previo al refinanciamiento, que es de 0.55% (cero punto cincuenta y cinco por ciento).</w:t>
      </w:r>
    </w:p>
    <w:p w:rsidR="00925917" w:rsidRPr="00D21644" w:rsidRDefault="00925917" w:rsidP="00925917">
      <w:pPr>
        <w:rPr>
          <w:rFonts w:eastAsia="Calibri"/>
          <w:sz w:val="22"/>
          <w:szCs w:val="22"/>
        </w:rPr>
      </w:pPr>
    </w:p>
    <w:p w:rsidR="00925917" w:rsidRPr="00D21644" w:rsidRDefault="00925917" w:rsidP="00925917">
      <w:pPr>
        <w:rPr>
          <w:rFonts w:eastAsia="Calibri"/>
          <w:sz w:val="22"/>
          <w:szCs w:val="22"/>
        </w:rPr>
      </w:pPr>
      <w:r w:rsidRPr="00D21644">
        <w:rPr>
          <w:rFonts w:eastAsia="Calibri"/>
          <w:sz w:val="22"/>
          <w:szCs w:val="22"/>
        </w:rPr>
        <w:t>Cabe señalar, que en términos de la base de licitación, se realizaron diversas notificaciones para establecer la fecha de la firma de los contratos de crédito, en virtud de las ofertas de crédito adjudicadas antes descritas, motivo por el cual, los siete contratos correspondientes se celebraron el 1 de febrero de 2023, mismos que una vez cumplidas las condiciones suspensivas para que los mismos entraran en vigor, en términos de los propios contratos, entre lo cual se incluye el registro de deuda federal (registro Público único), a cargo de la Secretaría de Hacienda y Crédito Público,  mismos que quedaron inscritos bajo las claves de inscripción siguientes:</w:t>
      </w:r>
    </w:p>
    <w:p w:rsidR="00925917" w:rsidRPr="00D21644" w:rsidRDefault="00925917" w:rsidP="00925917">
      <w:pPr>
        <w:rPr>
          <w:rFonts w:eastAsia="Calibri"/>
          <w:sz w:val="22"/>
          <w:szCs w:val="22"/>
        </w:rPr>
      </w:pPr>
    </w:p>
    <w:tbl>
      <w:tblPr>
        <w:tblW w:w="6941" w:type="dxa"/>
        <w:jc w:val="center"/>
        <w:tblCellMar>
          <w:left w:w="70" w:type="dxa"/>
          <w:right w:w="70" w:type="dxa"/>
        </w:tblCellMar>
        <w:tblLook w:val="04A0" w:firstRow="1" w:lastRow="0" w:firstColumn="1" w:lastColumn="0" w:noHBand="0" w:noVBand="1"/>
      </w:tblPr>
      <w:tblGrid>
        <w:gridCol w:w="537"/>
        <w:gridCol w:w="1725"/>
        <w:gridCol w:w="1593"/>
        <w:gridCol w:w="2126"/>
        <w:gridCol w:w="2385"/>
      </w:tblGrid>
      <w:tr w:rsidR="00925917" w:rsidRPr="00D21644" w:rsidTr="006658FA">
        <w:trPr>
          <w:trHeight w:val="765"/>
          <w:tblHeader/>
          <w:jc w:val="center"/>
        </w:trPr>
        <w:tc>
          <w:tcPr>
            <w:tcW w:w="411" w:type="dxa"/>
            <w:tcBorders>
              <w:top w:val="single" w:sz="4" w:space="0" w:color="auto"/>
              <w:left w:val="single" w:sz="4" w:space="0" w:color="auto"/>
              <w:bottom w:val="single" w:sz="4" w:space="0" w:color="auto"/>
              <w:right w:val="single" w:sz="4" w:space="0" w:color="auto"/>
            </w:tcBorders>
            <w:shd w:val="clear" w:color="000000" w:fill="F2F2F2"/>
            <w:vAlign w:val="center"/>
          </w:tcPr>
          <w:p w:rsidR="00925917" w:rsidRPr="00D21644" w:rsidRDefault="00925917" w:rsidP="006658FA">
            <w:pPr>
              <w:jc w:val="center"/>
              <w:rPr>
                <w:rFonts w:eastAsia="Calibri"/>
                <w:b/>
                <w:sz w:val="22"/>
                <w:szCs w:val="22"/>
              </w:rPr>
            </w:pPr>
            <w:r w:rsidRPr="00D21644">
              <w:rPr>
                <w:rFonts w:eastAsia="Calibri"/>
                <w:b/>
                <w:sz w:val="22"/>
                <w:szCs w:val="22"/>
              </w:rPr>
              <w:lastRenderedPageBreak/>
              <w:t>No.</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25917" w:rsidRPr="00D21644" w:rsidRDefault="00925917" w:rsidP="006658FA">
            <w:pPr>
              <w:jc w:val="center"/>
              <w:rPr>
                <w:rFonts w:eastAsia="Calibri"/>
                <w:b/>
                <w:sz w:val="22"/>
                <w:szCs w:val="22"/>
              </w:rPr>
            </w:pPr>
            <w:r w:rsidRPr="00D21644">
              <w:rPr>
                <w:rFonts w:eastAsia="Calibri"/>
                <w:b/>
                <w:sz w:val="22"/>
                <w:szCs w:val="22"/>
              </w:rPr>
              <w:t>Año de contratación</w:t>
            </w:r>
          </w:p>
        </w:tc>
        <w:tc>
          <w:tcPr>
            <w:tcW w:w="1474" w:type="dxa"/>
            <w:tcBorders>
              <w:top w:val="single" w:sz="4" w:space="0" w:color="auto"/>
              <w:left w:val="nil"/>
              <w:bottom w:val="single" w:sz="4" w:space="0" w:color="auto"/>
              <w:right w:val="single" w:sz="4" w:space="0" w:color="auto"/>
            </w:tcBorders>
            <w:shd w:val="clear" w:color="000000" w:fill="F2F2F2"/>
            <w:vAlign w:val="center"/>
            <w:hideMark/>
          </w:tcPr>
          <w:p w:rsidR="00925917" w:rsidRPr="00D21644" w:rsidRDefault="00925917" w:rsidP="006658FA">
            <w:pPr>
              <w:jc w:val="center"/>
              <w:rPr>
                <w:rFonts w:eastAsia="Calibri"/>
                <w:b/>
                <w:sz w:val="22"/>
                <w:szCs w:val="22"/>
              </w:rPr>
            </w:pPr>
            <w:r w:rsidRPr="00D21644">
              <w:rPr>
                <w:rFonts w:eastAsia="Calibri"/>
                <w:b/>
                <w:sz w:val="22"/>
                <w:szCs w:val="22"/>
              </w:rPr>
              <w:t>Clave de inscripción RPU-SHCP</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rsidR="00925917" w:rsidRPr="00D21644" w:rsidRDefault="00925917" w:rsidP="006658FA">
            <w:pPr>
              <w:jc w:val="center"/>
              <w:rPr>
                <w:rFonts w:eastAsia="Calibri"/>
                <w:b/>
                <w:sz w:val="22"/>
                <w:szCs w:val="22"/>
              </w:rPr>
            </w:pPr>
            <w:r w:rsidRPr="00D21644">
              <w:rPr>
                <w:rFonts w:eastAsia="Calibri"/>
                <w:b/>
                <w:sz w:val="22"/>
                <w:szCs w:val="22"/>
              </w:rPr>
              <w:t>Institución Financiera</w:t>
            </w:r>
          </w:p>
        </w:tc>
        <w:tc>
          <w:tcPr>
            <w:tcW w:w="1654" w:type="dxa"/>
            <w:tcBorders>
              <w:top w:val="single" w:sz="4" w:space="0" w:color="auto"/>
              <w:left w:val="nil"/>
              <w:bottom w:val="single" w:sz="4" w:space="0" w:color="auto"/>
              <w:right w:val="single" w:sz="4" w:space="0" w:color="auto"/>
            </w:tcBorders>
            <w:shd w:val="clear" w:color="000000" w:fill="F2F2F2"/>
            <w:vAlign w:val="center"/>
            <w:hideMark/>
          </w:tcPr>
          <w:p w:rsidR="00925917" w:rsidRPr="00D21644" w:rsidRDefault="00925917" w:rsidP="006658FA">
            <w:pPr>
              <w:jc w:val="center"/>
              <w:rPr>
                <w:rFonts w:eastAsia="Calibri"/>
                <w:b/>
                <w:sz w:val="22"/>
                <w:szCs w:val="22"/>
              </w:rPr>
            </w:pPr>
            <w:r w:rsidRPr="00D21644">
              <w:rPr>
                <w:rFonts w:eastAsia="Calibri"/>
                <w:b/>
                <w:sz w:val="22"/>
                <w:szCs w:val="22"/>
              </w:rPr>
              <w:t>Monto contratado</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2023</w:t>
            </w:r>
          </w:p>
        </w:tc>
        <w:tc>
          <w:tcPr>
            <w:tcW w:w="147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P16-0223013</w:t>
            </w:r>
          </w:p>
        </w:tc>
        <w:tc>
          <w:tcPr>
            <w:tcW w:w="2126"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Banorte 2023 (1)</w:t>
            </w:r>
          </w:p>
        </w:tc>
        <w:tc>
          <w:tcPr>
            <w:tcW w:w="165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2,500,000,000.00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2023</w:t>
            </w:r>
          </w:p>
        </w:tc>
        <w:tc>
          <w:tcPr>
            <w:tcW w:w="147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P16-0223009</w:t>
            </w:r>
          </w:p>
        </w:tc>
        <w:tc>
          <w:tcPr>
            <w:tcW w:w="2126"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BBVA</w:t>
            </w:r>
          </w:p>
        </w:tc>
        <w:tc>
          <w:tcPr>
            <w:tcW w:w="165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1,000,000,000.00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2023</w:t>
            </w:r>
          </w:p>
        </w:tc>
        <w:tc>
          <w:tcPr>
            <w:tcW w:w="147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P16-0223014</w:t>
            </w:r>
          </w:p>
        </w:tc>
        <w:tc>
          <w:tcPr>
            <w:tcW w:w="2126"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Banorte 2023 (2)</w:t>
            </w:r>
          </w:p>
        </w:tc>
        <w:tc>
          <w:tcPr>
            <w:tcW w:w="165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2,500,000,000.00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4</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2023</w:t>
            </w:r>
          </w:p>
        </w:tc>
        <w:tc>
          <w:tcPr>
            <w:tcW w:w="147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P16-0223015</w:t>
            </w:r>
          </w:p>
        </w:tc>
        <w:tc>
          <w:tcPr>
            <w:tcW w:w="2126"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Banorte 2023 (3)</w:t>
            </w:r>
          </w:p>
        </w:tc>
        <w:tc>
          <w:tcPr>
            <w:tcW w:w="165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1,000,000,000.00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2023</w:t>
            </w:r>
          </w:p>
        </w:tc>
        <w:tc>
          <w:tcPr>
            <w:tcW w:w="147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P16-0223010</w:t>
            </w:r>
          </w:p>
        </w:tc>
        <w:tc>
          <w:tcPr>
            <w:tcW w:w="2126"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Banco del Bajío 2023</w:t>
            </w:r>
          </w:p>
        </w:tc>
        <w:tc>
          <w:tcPr>
            <w:tcW w:w="165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600,000,000.00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2023</w:t>
            </w:r>
          </w:p>
        </w:tc>
        <w:tc>
          <w:tcPr>
            <w:tcW w:w="147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P16-0223011</w:t>
            </w:r>
          </w:p>
        </w:tc>
        <w:tc>
          <w:tcPr>
            <w:tcW w:w="2126"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Banco Azteca 2023</w:t>
            </w:r>
          </w:p>
        </w:tc>
        <w:tc>
          <w:tcPr>
            <w:tcW w:w="165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500,000,000.00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2023</w:t>
            </w:r>
          </w:p>
        </w:tc>
        <w:tc>
          <w:tcPr>
            <w:tcW w:w="147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P16-0223012</w:t>
            </w:r>
          </w:p>
        </w:tc>
        <w:tc>
          <w:tcPr>
            <w:tcW w:w="2126"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proofErr w:type="spellStart"/>
            <w:r w:rsidRPr="00D21644">
              <w:rPr>
                <w:rFonts w:eastAsia="Calibri"/>
                <w:sz w:val="22"/>
                <w:szCs w:val="22"/>
              </w:rPr>
              <w:t>Banobras</w:t>
            </w:r>
            <w:proofErr w:type="spellEnd"/>
            <w:r w:rsidRPr="00D21644">
              <w:rPr>
                <w:rFonts w:eastAsia="Calibri"/>
                <w:sz w:val="22"/>
                <w:szCs w:val="22"/>
              </w:rPr>
              <w:t xml:space="preserve"> 2023</w:t>
            </w:r>
          </w:p>
        </w:tc>
        <w:tc>
          <w:tcPr>
            <w:tcW w:w="165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10,899,822,238.25</w:t>
            </w:r>
          </w:p>
        </w:tc>
      </w:tr>
    </w:tbl>
    <w:p w:rsidR="00925917" w:rsidRPr="00D21644" w:rsidRDefault="00925917" w:rsidP="00925917">
      <w:pPr>
        <w:spacing w:before="0" w:after="0"/>
        <w:rPr>
          <w:rFonts w:eastAsia="Calibri"/>
          <w:sz w:val="22"/>
          <w:szCs w:val="22"/>
        </w:rPr>
      </w:pPr>
    </w:p>
    <w:p w:rsidR="00925917" w:rsidRPr="00D21644" w:rsidRDefault="00925917" w:rsidP="00925917">
      <w:pPr>
        <w:spacing w:before="0" w:after="0"/>
        <w:rPr>
          <w:rFonts w:eastAsia="Calibri"/>
          <w:sz w:val="22"/>
          <w:szCs w:val="22"/>
        </w:rPr>
      </w:pPr>
      <w:r w:rsidRPr="00D21644">
        <w:rPr>
          <w:rFonts w:eastAsia="Calibri"/>
          <w:sz w:val="22"/>
          <w:szCs w:val="22"/>
        </w:rPr>
        <w:t>Dado lo anterior, se realizó al desembolso de los recursos con cargo a los créditos contratados el 28 de febrero de 2023, por un monto de $18</w:t>
      </w:r>
      <w:proofErr w:type="gramStart"/>
      <w:r w:rsidRPr="00D21644">
        <w:rPr>
          <w:rFonts w:eastAsia="Calibri"/>
          <w:sz w:val="22"/>
          <w:szCs w:val="22"/>
        </w:rPr>
        <w:t>,608,425,471.50</w:t>
      </w:r>
      <w:proofErr w:type="gramEnd"/>
      <w:r w:rsidRPr="00D21644">
        <w:rPr>
          <w:rFonts w:eastAsia="Calibri"/>
          <w:sz w:val="22"/>
          <w:szCs w:val="22"/>
        </w:rPr>
        <w:t>, lo cual se detalla a continuación:</w:t>
      </w:r>
    </w:p>
    <w:tbl>
      <w:tblPr>
        <w:tblW w:w="8996" w:type="dxa"/>
        <w:jc w:val="center"/>
        <w:tblCellMar>
          <w:left w:w="70" w:type="dxa"/>
          <w:right w:w="70" w:type="dxa"/>
        </w:tblCellMar>
        <w:tblLook w:val="04A0" w:firstRow="1" w:lastRow="0" w:firstColumn="1" w:lastColumn="0" w:noHBand="0" w:noVBand="1"/>
      </w:tblPr>
      <w:tblGrid>
        <w:gridCol w:w="2385"/>
        <w:gridCol w:w="2040"/>
        <w:gridCol w:w="4571"/>
      </w:tblGrid>
      <w:tr w:rsidR="00925917" w:rsidRPr="00D21644" w:rsidTr="006658FA">
        <w:trPr>
          <w:trHeight w:val="300"/>
          <w:jc w:val="center"/>
        </w:trPr>
        <w:tc>
          <w:tcPr>
            <w:tcW w:w="2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25917" w:rsidRPr="00D21644" w:rsidRDefault="00925917" w:rsidP="006658FA">
            <w:pPr>
              <w:jc w:val="center"/>
              <w:rPr>
                <w:rFonts w:eastAsia="Calibri"/>
                <w:b/>
                <w:sz w:val="22"/>
                <w:szCs w:val="22"/>
              </w:rPr>
            </w:pPr>
            <w:r w:rsidRPr="00D21644">
              <w:rPr>
                <w:rFonts w:eastAsia="Calibri"/>
                <w:b/>
                <w:sz w:val="22"/>
                <w:szCs w:val="22"/>
              </w:rPr>
              <w:t>Monto contratado</w:t>
            </w:r>
          </w:p>
        </w:tc>
        <w:tc>
          <w:tcPr>
            <w:tcW w:w="20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25917" w:rsidRPr="00D21644" w:rsidRDefault="00925917" w:rsidP="006658FA">
            <w:pPr>
              <w:jc w:val="center"/>
              <w:rPr>
                <w:rFonts w:eastAsia="Calibri"/>
                <w:b/>
                <w:sz w:val="22"/>
                <w:szCs w:val="22"/>
              </w:rPr>
            </w:pPr>
            <w:r w:rsidRPr="00D21644">
              <w:rPr>
                <w:rFonts w:eastAsia="Calibri"/>
                <w:b/>
                <w:sz w:val="22"/>
                <w:szCs w:val="22"/>
              </w:rPr>
              <w:t>Banco</w:t>
            </w:r>
          </w:p>
        </w:tc>
        <w:tc>
          <w:tcPr>
            <w:tcW w:w="45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25917" w:rsidRPr="00D21644" w:rsidRDefault="00925917" w:rsidP="006658FA">
            <w:pPr>
              <w:jc w:val="center"/>
              <w:rPr>
                <w:rFonts w:eastAsia="Calibri"/>
                <w:b/>
                <w:sz w:val="22"/>
                <w:szCs w:val="22"/>
              </w:rPr>
            </w:pPr>
            <w:r w:rsidRPr="00D21644">
              <w:rPr>
                <w:rFonts w:eastAsia="Calibri"/>
                <w:b/>
                <w:sz w:val="22"/>
                <w:szCs w:val="22"/>
              </w:rPr>
              <w:t>Monto dispuesto</w:t>
            </w:r>
          </w:p>
        </w:tc>
      </w:tr>
      <w:tr w:rsidR="00925917" w:rsidRPr="00D21644" w:rsidTr="006658FA">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 xml:space="preserve">    2,500,000,000.00 </w:t>
            </w:r>
          </w:p>
        </w:tc>
        <w:tc>
          <w:tcPr>
            <w:tcW w:w="2040"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Banorte1</w:t>
            </w:r>
          </w:p>
        </w:tc>
        <w:tc>
          <w:tcPr>
            <w:tcW w:w="4571"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right"/>
              <w:rPr>
                <w:rFonts w:eastAsia="Calibri"/>
                <w:sz w:val="22"/>
                <w:szCs w:val="22"/>
              </w:rPr>
            </w:pPr>
            <w:r w:rsidRPr="00D21644">
              <w:rPr>
                <w:rFonts w:eastAsia="Calibri"/>
                <w:sz w:val="22"/>
                <w:szCs w:val="22"/>
              </w:rPr>
              <w:t xml:space="preserve"> 2,495,068,375.34 </w:t>
            </w:r>
          </w:p>
        </w:tc>
      </w:tr>
      <w:tr w:rsidR="00925917" w:rsidRPr="00D21644" w:rsidTr="006658FA">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 xml:space="preserve">    1,000,000,000.00 </w:t>
            </w:r>
          </w:p>
        </w:tc>
        <w:tc>
          <w:tcPr>
            <w:tcW w:w="2040"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BBVA</w:t>
            </w:r>
          </w:p>
        </w:tc>
        <w:tc>
          <w:tcPr>
            <w:tcW w:w="4571"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right"/>
              <w:rPr>
                <w:rFonts w:eastAsia="Calibri"/>
                <w:sz w:val="22"/>
                <w:szCs w:val="22"/>
              </w:rPr>
            </w:pPr>
            <w:r w:rsidRPr="00D21644">
              <w:rPr>
                <w:rFonts w:eastAsia="Calibri"/>
                <w:sz w:val="22"/>
                <w:szCs w:val="22"/>
              </w:rPr>
              <w:t xml:space="preserve">  997,370,861.10 </w:t>
            </w:r>
          </w:p>
        </w:tc>
      </w:tr>
      <w:tr w:rsidR="00925917" w:rsidRPr="00D21644" w:rsidTr="006658FA">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 xml:space="preserve">    2,500,000,000.00 </w:t>
            </w:r>
          </w:p>
        </w:tc>
        <w:tc>
          <w:tcPr>
            <w:tcW w:w="2040"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Banorte2</w:t>
            </w:r>
          </w:p>
        </w:tc>
        <w:tc>
          <w:tcPr>
            <w:tcW w:w="4571"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right"/>
              <w:rPr>
                <w:rFonts w:eastAsia="Calibri"/>
                <w:sz w:val="22"/>
                <w:szCs w:val="22"/>
              </w:rPr>
            </w:pPr>
            <w:r w:rsidRPr="00D21644">
              <w:rPr>
                <w:rFonts w:eastAsia="Calibri"/>
                <w:sz w:val="22"/>
                <w:szCs w:val="22"/>
              </w:rPr>
              <w:t xml:space="preserve"> 2,492,527,235.24 </w:t>
            </w:r>
          </w:p>
        </w:tc>
      </w:tr>
      <w:tr w:rsidR="00925917" w:rsidRPr="00D21644" w:rsidTr="006658FA">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 xml:space="preserve">    1,000,000,000.00 </w:t>
            </w:r>
          </w:p>
        </w:tc>
        <w:tc>
          <w:tcPr>
            <w:tcW w:w="2040"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Banorte3</w:t>
            </w:r>
          </w:p>
        </w:tc>
        <w:tc>
          <w:tcPr>
            <w:tcW w:w="4571"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right"/>
              <w:rPr>
                <w:rFonts w:eastAsia="Calibri"/>
                <w:sz w:val="22"/>
                <w:szCs w:val="22"/>
              </w:rPr>
            </w:pPr>
            <w:r w:rsidRPr="00D21644">
              <w:rPr>
                <w:rFonts w:eastAsia="Calibri"/>
                <w:sz w:val="22"/>
                <w:szCs w:val="22"/>
              </w:rPr>
              <w:t xml:space="preserve"> 994,054,346.66 </w:t>
            </w:r>
          </w:p>
        </w:tc>
      </w:tr>
      <w:tr w:rsidR="00925917" w:rsidRPr="00D21644" w:rsidTr="006658FA">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lastRenderedPageBreak/>
              <w:t xml:space="preserve">        600,000,000.00 </w:t>
            </w:r>
          </w:p>
        </w:tc>
        <w:tc>
          <w:tcPr>
            <w:tcW w:w="2040"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Bajío</w:t>
            </w:r>
          </w:p>
        </w:tc>
        <w:tc>
          <w:tcPr>
            <w:tcW w:w="4571"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right"/>
              <w:rPr>
                <w:rFonts w:eastAsia="Calibri"/>
                <w:sz w:val="22"/>
                <w:szCs w:val="22"/>
              </w:rPr>
            </w:pPr>
            <w:r w:rsidRPr="00D21644">
              <w:rPr>
                <w:rFonts w:eastAsia="Calibri"/>
                <w:sz w:val="22"/>
                <w:szCs w:val="22"/>
              </w:rPr>
              <w:t xml:space="preserve">                    589,283,333.34 </w:t>
            </w:r>
          </w:p>
        </w:tc>
      </w:tr>
      <w:tr w:rsidR="00925917" w:rsidRPr="00D21644" w:rsidTr="006658FA">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 xml:space="preserve">        500,000,000.00 </w:t>
            </w:r>
          </w:p>
        </w:tc>
        <w:tc>
          <w:tcPr>
            <w:tcW w:w="2040"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Azteca</w:t>
            </w:r>
          </w:p>
        </w:tc>
        <w:tc>
          <w:tcPr>
            <w:tcW w:w="4571"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right"/>
              <w:rPr>
                <w:rFonts w:eastAsia="Calibri"/>
                <w:sz w:val="22"/>
                <w:szCs w:val="22"/>
              </w:rPr>
            </w:pPr>
            <w:r w:rsidRPr="00D21644">
              <w:rPr>
                <w:rFonts w:eastAsia="Calibri"/>
                <w:sz w:val="22"/>
                <w:szCs w:val="22"/>
              </w:rPr>
              <w:t xml:space="preserve">                    483,193,278.00 </w:t>
            </w:r>
          </w:p>
        </w:tc>
      </w:tr>
      <w:tr w:rsidR="00925917" w:rsidRPr="00D21644" w:rsidTr="006658FA">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 xml:space="preserve">  10,899,822,238.25 </w:t>
            </w:r>
          </w:p>
        </w:tc>
        <w:tc>
          <w:tcPr>
            <w:tcW w:w="2040"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center"/>
              <w:rPr>
                <w:rFonts w:eastAsia="Calibri"/>
                <w:sz w:val="22"/>
                <w:szCs w:val="22"/>
              </w:rPr>
            </w:pPr>
            <w:r w:rsidRPr="00D21644">
              <w:rPr>
                <w:rFonts w:eastAsia="Calibri"/>
                <w:sz w:val="22"/>
                <w:szCs w:val="22"/>
              </w:rPr>
              <w:t>BANOBRAS</w:t>
            </w:r>
          </w:p>
        </w:tc>
        <w:tc>
          <w:tcPr>
            <w:tcW w:w="4571" w:type="dxa"/>
            <w:tcBorders>
              <w:top w:val="nil"/>
              <w:left w:val="nil"/>
              <w:bottom w:val="single" w:sz="4" w:space="0" w:color="auto"/>
              <w:right w:val="single" w:sz="4" w:space="0" w:color="auto"/>
            </w:tcBorders>
            <w:shd w:val="clear" w:color="auto" w:fill="auto"/>
            <w:noWrap/>
            <w:vAlign w:val="bottom"/>
            <w:hideMark/>
          </w:tcPr>
          <w:p w:rsidR="00925917" w:rsidRPr="00D21644" w:rsidRDefault="00925917" w:rsidP="006658FA">
            <w:pPr>
              <w:jc w:val="right"/>
              <w:rPr>
                <w:rFonts w:eastAsia="Calibri"/>
                <w:sz w:val="22"/>
                <w:szCs w:val="22"/>
              </w:rPr>
            </w:pPr>
            <w:r w:rsidRPr="00D21644">
              <w:rPr>
                <w:rFonts w:eastAsia="Calibri"/>
                <w:sz w:val="22"/>
                <w:szCs w:val="22"/>
              </w:rPr>
              <w:t xml:space="preserve">                10,556,928,041.82 </w:t>
            </w:r>
          </w:p>
        </w:tc>
      </w:tr>
      <w:tr w:rsidR="00925917" w:rsidRPr="00D21644" w:rsidTr="006658FA">
        <w:trPr>
          <w:trHeight w:val="300"/>
          <w:jc w:val="center"/>
        </w:trPr>
        <w:tc>
          <w:tcPr>
            <w:tcW w:w="2385" w:type="dxa"/>
            <w:tcBorders>
              <w:top w:val="nil"/>
              <w:left w:val="nil"/>
              <w:bottom w:val="nil"/>
              <w:right w:val="nil"/>
            </w:tcBorders>
            <w:shd w:val="clear" w:color="auto" w:fill="auto"/>
            <w:noWrap/>
            <w:vAlign w:val="bottom"/>
            <w:hideMark/>
          </w:tcPr>
          <w:p w:rsidR="00925917" w:rsidRPr="00D21644" w:rsidRDefault="00925917" w:rsidP="006658FA">
            <w:pPr>
              <w:jc w:val="center"/>
              <w:rPr>
                <w:rFonts w:eastAsia="Calibri"/>
                <w:sz w:val="22"/>
                <w:szCs w:val="22"/>
              </w:rPr>
            </w:pPr>
          </w:p>
        </w:tc>
        <w:tc>
          <w:tcPr>
            <w:tcW w:w="2040" w:type="dxa"/>
            <w:tcBorders>
              <w:top w:val="nil"/>
              <w:left w:val="nil"/>
              <w:bottom w:val="nil"/>
              <w:right w:val="nil"/>
            </w:tcBorders>
            <w:shd w:val="clear" w:color="auto" w:fill="auto"/>
            <w:noWrap/>
            <w:vAlign w:val="bottom"/>
            <w:hideMark/>
          </w:tcPr>
          <w:p w:rsidR="00925917" w:rsidRPr="00D21644" w:rsidRDefault="00925917" w:rsidP="006658FA">
            <w:pPr>
              <w:jc w:val="center"/>
              <w:rPr>
                <w:rFonts w:eastAsia="Calibri"/>
                <w:sz w:val="22"/>
                <w:szCs w:val="22"/>
              </w:rPr>
            </w:pPr>
          </w:p>
        </w:tc>
        <w:tc>
          <w:tcPr>
            <w:tcW w:w="4571" w:type="dxa"/>
            <w:tcBorders>
              <w:top w:val="nil"/>
              <w:left w:val="nil"/>
              <w:bottom w:val="nil"/>
              <w:right w:val="nil"/>
            </w:tcBorders>
            <w:shd w:val="clear" w:color="auto" w:fill="auto"/>
            <w:noWrap/>
            <w:vAlign w:val="bottom"/>
            <w:hideMark/>
          </w:tcPr>
          <w:p w:rsidR="00925917" w:rsidRPr="00D21644" w:rsidRDefault="00925917" w:rsidP="006658FA">
            <w:pPr>
              <w:jc w:val="center"/>
              <w:rPr>
                <w:rFonts w:eastAsia="Calibri"/>
                <w:sz w:val="22"/>
                <w:szCs w:val="22"/>
              </w:rPr>
            </w:pPr>
          </w:p>
        </w:tc>
      </w:tr>
    </w:tbl>
    <w:p w:rsidR="00925917" w:rsidRDefault="00925917" w:rsidP="00925917">
      <w:pPr>
        <w:spacing w:before="0" w:after="0"/>
        <w:rPr>
          <w:rFonts w:eastAsia="Calibri"/>
          <w:sz w:val="22"/>
          <w:szCs w:val="22"/>
        </w:rPr>
      </w:pPr>
      <w:r w:rsidRPr="00D21644">
        <w:rPr>
          <w:rFonts w:eastAsia="Calibri"/>
          <w:sz w:val="22"/>
          <w:szCs w:val="22"/>
        </w:rPr>
        <w:t>recursos cuyo destino fue; $4,187,600 que se depositaron en cuentas bancarias del Estado para costos y gastos de los créditos, así como con los cuales se liquidaron 14 créditos de largo plazo contratados por administraciones estatales anteriores, siendo:</w:t>
      </w:r>
    </w:p>
    <w:p w:rsidR="00925917" w:rsidRPr="00D21644" w:rsidRDefault="00925917" w:rsidP="00925917">
      <w:pPr>
        <w:spacing w:before="0" w:after="0"/>
        <w:rPr>
          <w:rFonts w:eastAsia="Calibri"/>
          <w:sz w:val="22"/>
          <w:szCs w:val="22"/>
        </w:rPr>
      </w:pPr>
    </w:p>
    <w:tbl>
      <w:tblPr>
        <w:tblW w:w="6941" w:type="dxa"/>
        <w:jc w:val="center"/>
        <w:tblCellMar>
          <w:left w:w="70" w:type="dxa"/>
          <w:right w:w="70" w:type="dxa"/>
        </w:tblCellMar>
        <w:tblLook w:val="04A0" w:firstRow="1" w:lastRow="0" w:firstColumn="1" w:lastColumn="0" w:noHBand="0" w:noVBand="1"/>
      </w:tblPr>
      <w:tblGrid>
        <w:gridCol w:w="537"/>
        <w:gridCol w:w="1725"/>
        <w:gridCol w:w="1593"/>
        <w:gridCol w:w="2126"/>
        <w:gridCol w:w="2253"/>
      </w:tblGrid>
      <w:tr w:rsidR="00925917" w:rsidRPr="00D21644" w:rsidTr="006658FA">
        <w:trPr>
          <w:trHeight w:val="765"/>
          <w:tblHeader/>
          <w:jc w:val="center"/>
        </w:trPr>
        <w:tc>
          <w:tcPr>
            <w:tcW w:w="411" w:type="dxa"/>
            <w:tcBorders>
              <w:top w:val="single" w:sz="4" w:space="0" w:color="auto"/>
              <w:left w:val="single" w:sz="4" w:space="0" w:color="auto"/>
              <w:bottom w:val="single" w:sz="4" w:space="0" w:color="auto"/>
              <w:right w:val="single" w:sz="4" w:space="0" w:color="auto"/>
            </w:tcBorders>
            <w:shd w:val="clear" w:color="000000" w:fill="F2F2F2"/>
            <w:vAlign w:val="center"/>
          </w:tcPr>
          <w:p w:rsidR="00925917" w:rsidRPr="00D21644" w:rsidRDefault="00925917" w:rsidP="006658FA">
            <w:pPr>
              <w:jc w:val="center"/>
              <w:rPr>
                <w:rFonts w:eastAsia="Calibri"/>
                <w:sz w:val="22"/>
                <w:szCs w:val="22"/>
              </w:rPr>
            </w:pPr>
            <w:r w:rsidRPr="00D21644">
              <w:rPr>
                <w:rFonts w:eastAsia="Calibri"/>
                <w:sz w:val="22"/>
                <w:szCs w:val="22"/>
              </w:rPr>
              <w:t>No.</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25917" w:rsidRPr="00D21644" w:rsidRDefault="00925917" w:rsidP="006658FA">
            <w:pPr>
              <w:jc w:val="center"/>
              <w:rPr>
                <w:rFonts w:eastAsia="Calibri"/>
                <w:sz w:val="22"/>
                <w:szCs w:val="22"/>
              </w:rPr>
            </w:pPr>
            <w:r w:rsidRPr="00D21644">
              <w:rPr>
                <w:rFonts w:eastAsia="Calibri"/>
                <w:sz w:val="22"/>
                <w:szCs w:val="22"/>
              </w:rPr>
              <w:t>Año de contratación</w:t>
            </w:r>
          </w:p>
        </w:tc>
        <w:tc>
          <w:tcPr>
            <w:tcW w:w="1474" w:type="dxa"/>
            <w:tcBorders>
              <w:top w:val="single" w:sz="4" w:space="0" w:color="auto"/>
              <w:left w:val="nil"/>
              <w:bottom w:val="single" w:sz="4" w:space="0" w:color="auto"/>
              <w:right w:val="single" w:sz="4" w:space="0" w:color="auto"/>
            </w:tcBorders>
            <w:shd w:val="clear" w:color="000000" w:fill="F2F2F2"/>
            <w:vAlign w:val="center"/>
            <w:hideMark/>
          </w:tcPr>
          <w:p w:rsidR="00925917" w:rsidRPr="00D21644" w:rsidRDefault="00925917" w:rsidP="006658FA">
            <w:pPr>
              <w:jc w:val="center"/>
              <w:rPr>
                <w:rFonts w:eastAsia="Calibri"/>
                <w:sz w:val="22"/>
                <w:szCs w:val="22"/>
              </w:rPr>
            </w:pPr>
            <w:r w:rsidRPr="00D21644">
              <w:rPr>
                <w:rFonts w:eastAsia="Calibri"/>
                <w:sz w:val="22"/>
                <w:szCs w:val="22"/>
              </w:rPr>
              <w:t>Clave de inscripción</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rsidR="00925917" w:rsidRPr="00D21644" w:rsidRDefault="00925917" w:rsidP="006658FA">
            <w:pPr>
              <w:jc w:val="center"/>
              <w:rPr>
                <w:rFonts w:eastAsia="Calibri"/>
                <w:sz w:val="22"/>
                <w:szCs w:val="22"/>
              </w:rPr>
            </w:pPr>
            <w:r w:rsidRPr="00D21644">
              <w:rPr>
                <w:rFonts w:eastAsia="Calibri"/>
                <w:sz w:val="22"/>
                <w:szCs w:val="22"/>
              </w:rPr>
              <w:t>Institución Financiera</w:t>
            </w:r>
          </w:p>
        </w:tc>
        <w:tc>
          <w:tcPr>
            <w:tcW w:w="1654" w:type="dxa"/>
            <w:tcBorders>
              <w:top w:val="single" w:sz="4" w:space="0" w:color="auto"/>
              <w:left w:val="nil"/>
              <w:bottom w:val="single" w:sz="4" w:space="0" w:color="auto"/>
              <w:right w:val="single" w:sz="4" w:space="0" w:color="auto"/>
            </w:tcBorders>
            <w:shd w:val="clear" w:color="000000" w:fill="F2F2F2"/>
            <w:vAlign w:val="center"/>
            <w:hideMark/>
          </w:tcPr>
          <w:p w:rsidR="00925917" w:rsidRPr="00D21644" w:rsidRDefault="00925917" w:rsidP="006658FA">
            <w:pPr>
              <w:jc w:val="center"/>
              <w:rPr>
                <w:rFonts w:eastAsia="Calibri"/>
                <w:sz w:val="22"/>
                <w:szCs w:val="22"/>
              </w:rPr>
            </w:pPr>
            <w:r w:rsidRPr="00D21644">
              <w:rPr>
                <w:rFonts w:eastAsia="Calibri"/>
                <w:sz w:val="22"/>
                <w:szCs w:val="22"/>
              </w:rPr>
              <w:t>Monto contratado</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2007</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040/2007</w:t>
            </w:r>
          </w:p>
        </w:tc>
        <w:tc>
          <w:tcPr>
            <w:tcW w:w="2126"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Banorte 2007</w:t>
            </w:r>
          </w:p>
        </w:tc>
        <w:tc>
          <w:tcPr>
            <w:tcW w:w="1654" w:type="dxa"/>
            <w:tcBorders>
              <w:top w:val="nil"/>
              <w:left w:val="nil"/>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600,000,000.00</w:t>
            </w:r>
          </w:p>
        </w:tc>
      </w:tr>
      <w:tr w:rsidR="00925917" w:rsidRPr="00D21644" w:rsidTr="006658FA">
        <w:trPr>
          <w:trHeight w:val="480"/>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2007</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041/2007</w:t>
            </w:r>
          </w:p>
        </w:tc>
        <w:tc>
          <w:tcPr>
            <w:tcW w:w="2126" w:type="dxa"/>
            <w:tcBorders>
              <w:top w:val="nil"/>
              <w:left w:val="nil"/>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 xml:space="preserve">Banco </w:t>
            </w:r>
            <w:proofErr w:type="spellStart"/>
            <w:r w:rsidRPr="00D21644">
              <w:rPr>
                <w:rFonts w:eastAsia="Calibri"/>
                <w:sz w:val="22"/>
                <w:szCs w:val="22"/>
              </w:rPr>
              <w:t>Dexia</w:t>
            </w:r>
            <w:proofErr w:type="spellEnd"/>
            <w:r w:rsidRPr="00D21644">
              <w:rPr>
                <w:rFonts w:eastAsia="Calibri"/>
                <w:sz w:val="22"/>
                <w:szCs w:val="22"/>
              </w:rPr>
              <w:t xml:space="preserve"> 2007 </w:t>
            </w:r>
            <w:r w:rsidRPr="00D21644">
              <w:rPr>
                <w:rFonts w:eastAsia="Calibri"/>
                <w:sz w:val="22"/>
                <w:szCs w:val="22"/>
              </w:rPr>
              <w:br/>
              <w:t>(hoy con Banco del Bajío)</w:t>
            </w:r>
          </w:p>
        </w:tc>
        <w:tc>
          <w:tcPr>
            <w:tcW w:w="1654" w:type="dxa"/>
            <w:tcBorders>
              <w:top w:val="nil"/>
              <w:left w:val="nil"/>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971,555,924.00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2007</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042/2007</w:t>
            </w:r>
          </w:p>
        </w:tc>
        <w:tc>
          <w:tcPr>
            <w:tcW w:w="2126"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proofErr w:type="spellStart"/>
            <w:r w:rsidRPr="00D21644">
              <w:rPr>
                <w:rFonts w:eastAsia="Calibri"/>
                <w:sz w:val="22"/>
                <w:szCs w:val="22"/>
              </w:rPr>
              <w:t>Banobras</w:t>
            </w:r>
            <w:proofErr w:type="spellEnd"/>
            <w:r w:rsidRPr="00D21644">
              <w:rPr>
                <w:rFonts w:eastAsia="Calibri"/>
                <w:sz w:val="22"/>
                <w:szCs w:val="22"/>
              </w:rPr>
              <w:t xml:space="preserve"> 2007</w:t>
            </w:r>
          </w:p>
        </w:tc>
        <w:tc>
          <w:tcPr>
            <w:tcW w:w="1654" w:type="dxa"/>
            <w:tcBorders>
              <w:top w:val="nil"/>
              <w:left w:val="nil"/>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998,148,149.00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2011</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124/2011</w:t>
            </w:r>
          </w:p>
        </w:tc>
        <w:tc>
          <w:tcPr>
            <w:tcW w:w="2126"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proofErr w:type="spellStart"/>
            <w:r w:rsidRPr="00D21644">
              <w:rPr>
                <w:rFonts w:eastAsia="Calibri"/>
                <w:sz w:val="22"/>
                <w:szCs w:val="22"/>
              </w:rPr>
              <w:t>Banobras</w:t>
            </w:r>
            <w:proofErr w:type="spellEnd"/>
            <w:r w:rsidRPr="00D21644">
              <w:rPr>
                <w:rFonts w:eastAsia="Calibri"/>
                <w:sz w:val="22"/>
                <w:szCs w:val="22"/>
              </w:rPr>
              <w:t xml:space="preserve"> 2011</w:t>
            </w:r>
          </w:p>
        </w:tc>
        <w:tc>
          <w:tcPr>
            <w:tcW w:w="1654" w:type="dxa"/>
            <w:tcBorders>
              <w:top w:val="nil"/>
              <w:left w:val="nil"/>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1,514,000,002.00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2011</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138/2011</w:t>
            </w:r>
          </w:p>
        </w:tc>
        <w:tc>
          <w:tcPr>
            <w:tcW w:w="2126"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Banco del Bajío 2011</w:t>
            </w:r>
          </w:p>
        </w:tc>
        <w:tc>
          <w:tcPr>
            <w:tcW w:w="165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1,285,999,998.00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2013</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P16-0813108</w:t>
            </w:r>
          </w:p>
        </w:tc>
        <w:tc>
          <w:tcPr>
            <w:tcW w:w="2126"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proofErr w:type="spellStart"/>
            <w:r w:rsidRPr="00D21644">
              <w:rPr>
                <w:rFonts w:eastAsia="Calibri"/>
                <w:sz w:val="22"/>
                <w:szCs w:val="22"/>
              </w:rPr>
              <w:t>Banobras</w:t>
            </w:r>
            <w:proofErr w:type="spellEnd"/>
            <w:r w:rsidRPr="00D21644">
              <w:rPr>
                <w:rFonts w:eastAsia="Calibri"/>
                <w:sz w:val="22"/>
                <w:szCs w:val="22"/>
              </w:rPr>
              <w:t xml:space="preserve"> 2013</w:t>
            </w:r>
          </w:p>
        </w:tc>
        <w:tc>
          <w:tcPr>
            <w:tcW w:w="165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4,112,000,000.00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2017</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P16-1217123</w:t>
            </w:r>
          </w:p>
        </w:tc>
        <w:tc>
          <w:tcPr>
            <w:tcW w:w="2126"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Banca Afirme 2017</w:t>
            </w:r>
          </w:p>
        </w:tc>
        <w:tc>
          <w:tcPr>
            <w:tcW w:w="165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400,000,000.00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2017</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P16-1217125</w:t>
            </w:r>
          </w:p>
        </w:tc>
        <w:tc>
          <w:tcPr>
            <w:tcW w:w="2126"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proofErr w:type="spellStart"/>
            <w:r w:rsidRPr="00D21644">
              <w:rPr>
                <w:rFonts w:eastAsia="Calibri"/>
                <w:sz w:val="22"/>
                <w:szCs w:val="22"/>
              </w:rPr>
              <w:t>Banobras</w:t>
            </w:r>
            <w:proofErr w:type="spellEnd"/>
            <w:r w:rsidRPr="00D21644">
              <w:rPr>
                <w:rFonts w:eastAsia="Calibri"/>
                <w:sz w:val="22"/>
                <w:szCs w:val="22"/>
              </w:rPr>
              <w:t xml:space="preserve"> 2017</w:t>
            </w:r>
          </w:p>
        </w:tc>
        <w:tc>
          <w:tcPr>
            <w:tcW w:w="165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1,481,080,882.09</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2019</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P16-0120004</w:t>
            </w:r>
          </w:p>
        </w:tc>
        <w:tc>
          <w:tcPr>
            <w:tcW w:w="2126" w:type="dxa"/>
            <w:tcBorders>
              <w:top w:val="nil"/>
              <w:left w:val="nil"/>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proofErr w:type="spellStart"/>
            <w:r w:rsidRPr="00D21644">
              <w:rPr>
                <w:rFonts w:eastAsia="Calibri"/>
                <w:sz w:val="22"/>
                <w:szCs w:val="22"/>
              </w:rPr>
              <w:t>Banobras</w:t>
            </w:r>
            <w:proofErr w:type="spellEnd"/>
            <w:r w:rsidRPr="00D21644">
              <w:rPr>
                <w:rFonts w:eastAsia="Calibri"/>
                <w:sz w:val="22"/>
                <w:szCs w:val="22"/>
              </w:rPr>
              <w:t xml:space="preserve"> 2019</w:t>
            </w:r>
          </w:p>
        </w:tc>
        <w:tc>
          <w:tcPr>
            <w:tcW w:w="165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1,149,607,059.02</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2019</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P16-0120003</w:t>
            </w:r>
          </w:p>
        </w:tc>
        <w:tc>
          <w:tcPr>
            <w:tcW w:w="2126" w:type="dxa"/>
            <w:tcBorders>
              <w:top w:val="nil"/>
              <w:left w:val="nil"/>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proofErr w:type="spellStart"/>
            <w:r w:rsidRPr="00D21644">
              <w:rPr>
                <w:rFonts w:eastAsia="Calibri"/>
                <w:sz w:val="22"/>
                <w:szCs w:val="22"/>
              </w:rPr>
              <w:t>Banobras</w:t>
            </w:r>
            <w:proofErr w:type="spellEnd"/>
            <w:r w:rsidRPr="00D21644">
              <w:rPr>
                <w:rFonts w:eastAsia="Calibri"/>
                <w:sz w:val="22"/>
                <w:szCs w:val="22"/>
              </w:rPr>
              <w:t xml:space="preserve"> 2019</w:t>
            </w:r>
          </w:p>
        </w:tc>
        <w:tc>
          <w:tcPr>
            <w:tcW w:w="165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1,218,487,427.00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lastRenderedPageBreak/>
              <w:t>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2020</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P16-0420033</w:t>
            </w:r>
          </w:p>
        </w:tc>
        <w:tc>
          <w:tcPr>
            <w:tcW w:w="2126" w:type="dxa"/>
            <w:tcBorders>
              <w:top w:val="nil"/>
              <w:left w:val="nil"/>
              <w:bottom w:val="single" w:sz="4" w:space="0" w:color="auto"/>
              <w:right w:val="single" w:sz="4" w:space="0" w:color="auto"/>
            </w:tcBorders>
            <w:shd w:val="clear" w:color="auto" w:fill="auto"/>
            <w:vAlign w:val="center"/>
            <w:hideMark/>
          </w:tcPr>
          <w:p w:rsidR="00925917" w:rsidRPr="00D21644" w:rsidRDefault="00925917" w:rsidP="006658FA">
            <w:pPr>
              <w:jc w:val="center"/>
              <w:rPr>
                <w:rFonts w:eastAsia="Calibri"/>
                <w:sz w:val="22"/>
                <w:szCs w:val="22"/>
              </w:rPr>
            </w:pPr>
            <w:r w:rsidRPr="00D21644">
              <w:rPr>
                <w:rFonts w:eastAsia="Calibri"/>
                <w:sz w:val="22"/>
                <w:szCs w:val="22"/>
              </w:rPr>
              <w:t>Banco del Bajío 2020</w:t>
            </w:r>
          </w:p>
        </w:tc>
        <w:tc>
          <w:tcPr>
            <w:tcW w:w="165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2,045,000,000.00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2020</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P16-0420032</w:t>
            </w:r>
          </w:p>
        </w:tc>
        <w:tc>
          <w:tcPr>
            <w:tcW w:w="2126"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Banorte 2020</w:t>
            </w:r>
          </w:p>
        </w:tc>
        <w:tc>
          <w:tcPr>
            <w:tcW w:w="165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2,045,000,000.00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2018</w:t>
            </w:r>
          </w:p>
        </w:tc>
        <w:tc>
          <w:tcPr>
            <w:tcW w:w="147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P16-0618056</w:t>
            </w:r>
          </w:p>
        </w:tc>
        <w:tc>
          <w:tcPr>
            <w:tcW w:w="2126"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proofErr w:type="spellStart"/>
            <w:r w:rsidRPr="00D21644">
              <w:rPr>
                <w:rFonts w:eastAsia="Calibri"/>
                <w:sz w:val="22"/>
                <w:szCs w:val="22"/>
              </w:rPr>
              <w:t>Banobras</w:t>
            </w:r>
            <w:proofErr w:type="spellEnd"/>
            <w:r w:rsidRPr="00D21644">
              <w:rPr>
                <w:rFonts w:eastAsia="Calibri"/>
                <w:sz w:val="22"/>
                <w:szCs w:val="22"/>
              </w:rPr>
              <w:t xml:space="preserve"> 2018</w:t>
            </w:r>
          </w:p>
        </w:tc>
        <w:tc>
          <w:tcPr>
            <w:tcW w:w="1654" w:type="dxa"/>
            <w:tcBorders>
              <w:top w:val="nil"/>
              <w:left w:val="nil"/>
              <w:bottom w:val="single" w:sz="4" w:space="0" w:color="auto"/>
              <w:right w:val="single" w:sz="4" w:space="0" w:color="auto"/>
            </w:tcBorders>
            <w:shd w:val="clear" w:color="auto" w:fill="auto"/>
            <w:noWrap/>
            <w:vAlign w:val="center"/>
            <w:hideMark/>
          </w:tcPr>
          <w:p w:rsidR="00925917" w:rsidRPr="00D21644" w:rsidRDefault="00925917" w:rsidP="006658FA">
            <w:pPr>
              <w:jc w:val="center"/>
              <w:rPr>
                <w:rFonts w:eastAsia="Calibri"/>
                <w:sz w:val="22"/>
                <w:szCs w:val="22"/>
              </w:rPr>
            </w:pPr>
            <w:r w:rsidRPr="00D21644">
              <w:rPr>
                <w:rFonts w:eastAsia="Calibri"/>
                <w:sz w:val="22"/>
                <w:szCs w:val="22"/>
              </w:rPr>
              <w:t>2,100,000,000.00</w:t>
            </w:r>
          </w:p>
        </w:tc>
      </w:tr>
      <w:tr w:rsidR="00925917" w:rsidRPr="00D21644" w:rsidTr="006658FA">
        <w:trPr>
          <w:trHeight w:val="255"/>
          <w:jc w:val="center"/>
        </w:trPr>
        <w:tc>
          <w:tcPr>
            <w:tcW w:w="411" w:type="dxa"/>
            <w:tcBorders>
              <w:top w:val="nil"/>
              <w:left w:val="single" w:sz="4" w:space="0" w:color="auto"/>
              <w:bottom w:val="single" w:sz="4" w:space="0" w:color="auto"/>
              <w:right w:val="single" w:sz="4" w:space="0" w:color="auto"/>
            </w:tcBorders>
          </w:tcPr>
          <w:p w:rsidR="00925917" w:rsidRPr="00D21644" w:rsidRDefault="00925917" w:rsidP="006658FA">
            <w:pPr>
              <w:jc w:val="center"/>
              <w:rPr>
                <w:rFonts w:eastAsia="Calibri"/>
                <w:sz w:val="22"/>
                <w:szCs w:val="22"/>
              </w:rPr>
            </w:pPr>
            <w:r w:rsidRPr="00D21644">
              <w:rPr>
                <w:rFonts w:eastAsia="Calibri"/>
                <w:sz w:val="22"/>
                <w:szCs w:val="22"/>
              </w:rPr>
              <w:t>14</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2018</w:t>
            </w:r>
          </w:p>
        </w:tc>
        <w:tc>
          <w:tcPr>
            <w:tcW w:w="147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A16-0618002</w:t>
            </w:r>
          </w:p>
        </w:tc>
        <w:tc>
          <w:tcPr>
            <w:tcW w:w="2126"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proofErr w:type="spellStart"/>
            <w:r w:rsidRPr="00D21644">
              <w:rPr>
                <w:rFonts w:eastAsia="Calibri"/>
                <w:sz w:val="22"/>
                <w:szCs w:val="22"/>
              </w:rPr>
              <w:t>Banobras</w:t>
            </w:r>
            <w:proofErr w:type="spellEnd"/>
            <w:r w:rsidRPr="00D21644">
              <w:rPr>
                <w:rFonts w:eastAsia="Calibri"/>
                <w:sz w:val="22"/>
                <w:szCs w:val="22"/>
              </w:rPr>
              <w:t xml:space="preserve"> (FAFEF 2018)</w:t>
            </w:r>
          </w:p>
        </w:tc>
        <w:tc>
          <w:tcPr>
            <w:tcW w:w="1654" w:type="dxa"/>
            <w:tcBorders>
              <w:top w:val="nil"/>
              <w:left w:val="nil"/>
              <w:bottom w:val="single" w:sz="4" w:space="0" w:color="auto"/>
              <w:right w:val="single" w:sz="4" w:space="0" w:color="auto"/>
            </w:tcBorders>
            <w:shd w:val="clear" w:color="auto" w:fill="auto"/>
            <w:noWrap/>
            <w:vAlign w:val="center"/>
          </w:tcPr>
          <w:p w:rsidR="00925917" w:rsidRPr="00D21644" w:rsidRDefault="00925917" w:rsidP="006658FA">
            <w:pPr>
              <w:jc w:val="center"/>
              <w:rPr>
                <w:rFonts w:eastAsia="Calibri"/>
                <w:sz w:val="22"/>
                <w:szCs w:val="22"/>
              </w:rPr>
            </w:pPr>
            <w:r w:rsidRPr="00D21644">
              <w:rPr>
                <w:rFonts w:eastAsia="Calibri"/>
                <w:sz w:val="22"/>
                <w:szCs w:val="22"/>
              </w:rPr>
              <w:t>2,500,000,000.00</w:t>
            </w:r>
          </w:p>
        </w:tc>
      </w:tr>
    </w:tbl>
    <w:p w:rsidR="00925917" w:rsidRPr="00D21644"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r w:rsidRPr="00D21644">
        <w:rPr>
          <w:rFonts w:eastAsia="Calibri"/>
          <w:sz w:val="22"/>
          <w:szCs w:val="22"/>
        </w:rPr>
        <w:t>En virtud de esta operación los beneficios principales que se consiguen son:</w:t>
      </w:r>
    </w:p>
    <w:p w:rsidR="00925917" w:rsidRPr="00D21644" w:rsidRDefault="00925917" w:rsidP="00925917">
      <w:pPr>
        <w:spacing w:before="0" w:after="0"/>
        <w:rPr>
          <w:rFonts w:eastAsia="Calibri"/>
          <w:sz w:val="22"/>
          <w:szCs w:val="22"/>
        </w:rPr>
      </w:pPr>
    </w:p>
    <w:p w:rsidR="00925917" w:rsidRPr="00D21644" w:rsidRDefault="00925917" w:rsidP="00925917">
      <w:pPr>
        <w:spacing w:before="0" w:after="0"/>
        <w:rPr>
          <w:rFonts w:eastAsia="Calibri"/>
          <w:sz w:val="22"/>
          <w:szCs w:val="22"/>
        </w:rPr>
      </w:pPr>
      <w:r w:rsidRPr="00D21644">
        <w:rPr>
          <w:rFonts w:eastAsia="Calibri"/>
          <w:b/>
          <w:sz w:val="22"/>
          <w:szCs w:val="22"/>
        </w:rPr>
        <w:t>1)</w:t>
      </w:r>
      <w:r w:rsidRPr="00D21644">
        <w:rPr>
          <w:rFonts w:eastAsia="Calibri"/>
          <w:sz w:val="22"/>
          <w:szCs w:val="22"/>
        </w:rPr>
        <w:t xml:space="preserve"> Un refinanciamiento en condiciones muy favorables para la deuda del Estado, bajando la sobretasa promedio ponderada del pago de intereses de 0.55% a 0.50%; aumentando el plazo de las operaciones a 20 años y ajustando el perfil de pagos para que sea mucho más accesible a la situación financiera del Estado.</w:t>
      </w:r>
    </w:p>
    <w:p w:rsidR="00925917" w:rsidRPr="00D21644" w:rsidRDefault="00925917" w:rsidP="00925917">
      <w:pPr>
        <w:spacing w:before="0" w:after="0"/>
        <w:rPr>
          <w:rFonts w:eastAsia="Calibri"/>
          <w:sz w:val="22"/>
          <w:szCs w:val="22"/>
        </w:rPr>
      </w:pPr>
    </w:p>
    <w:p w:rsidR="00925917" w:rsidRPr="00D21644" w:rsidRDefault="00925917" w:rsidP="00925917">
      <w:pPr>
        <w:spacing w:before="0" w:after="0"/>
        <w:rPr>
          <w:rFonts w:eastAsia="Calibri"/>
          <w:sz w:val="22"/>
          <w:szCs w:val="22"/>
        </w:rPr>
      </w:pPr>
      <w:r w:rsidRPr="00D21644">
        <w:rPr>
          <w:rFonts w:eastAsia="Calibri"/>
          <w:sz w:val="22"/>
          <w:szCs w:val="22"/>
        </w:rPr>
        <w:t>Es la primera vez que el Gobierno del Estado de Michoacán logra una operación de refinanciamiento integral de todos sus financiamientos y no en lo individual de algunos de ellos.</w:t>
      </w:r>
    </w:p>
    <w:p w:rsidR="00925917" w:rsidRPr="00D21644" w:rsidRDefault="00925917" w:rsidP="00925917">
      <w:pPr>
        <w:spacing w:before="0" w:after="0"/>
        <w:rPr>
          <w:rFonts w:eastAsia="Calibri"/>
          <w:sz w:val="22"/>
          <w:szCs w:val="22"/>
        </w:rPr>
      </w:pPr>
    </w:p>
    <w:p w:rsidR="00925917" w:rsidRPr="00D21644" w:rsidRDefault="00925917" w:rsidP="00925917">
      <w:pPr>
        <w:spacing w:before="0" w:after="0"/>
        <w:rPr>
          <w:rFonts w:eastAsia="Calibri"/>
          <w:sz w:val="22"/>
          <w:szCs w:val="22"/>
        </w:rPr>
      </w:pPr>
      <w:r w:rsidRPr="00D21644">
        <w:rPr>
          <w:rFonts w:eastAsia="Calibri"/>
          <w:b/>
          <w:sz w:val="22"/>
          <w:szCs w:val="22"/>
        </w:rPr>
        <w:t>2)</w:t>
      </w:r>
      <w:r w:rsidRPr="00D21644">
        <w:rPr>
          <w:rFonts w:eastAsia="Calibri"/>
          <w:sz w:val="22"/>
          <w:szCs w:val="22"/>
        </w:rPr>
        <w:t xml:space="preserve"> La reducción del porcentaje de las Participaciones afectadas para el pago de la deuda, del 100% al 60%, lo cual amplía el margen de maniobra para el uso de los principales recursos de libre disposición de esta Entidad Federativa.</w:t>
      </w:r>
    </w:p>
    <w:p w:rsidR="00925917" w:rsidRPr="00D21644" w:rsidRDefault="00925917" w:rsidP="00925917">
      <w:pPr>
        <w:spacing w:before="0" w:after="0"/>
        <w:rPr>
          <w:rFonts w:eastAsia="Calibri"/>
          <w:sz w:val="22"/>
          <w:szCs w:val="22"/>
        </w:rPr>
      </w:pPr>
    </w:p>
    <w:p w:rsidR="00925917" w:rsidRPr="00D21644" w:rsidRDefault="00925917" w:rsidP="00925917">
      <w:pPr>
        <w:spacing w:before="0" w:after="0"/>
        <w:rPr>
          <w:rFonts w:eastAsia="Calibri"/>
          <w:sz w:val="22"/>
          <w:szCs w:val="22"/>
        </w:rPr>
      </w:pPr>
      <w:r w:rsidRPr="00D21644">
        <w:rPr>
          <w:rFonts w:eastAsia="Calibri"/>
          <w:b/>
          <w:sz w:val="22"/>
          <w:szCs w:val="22"/>
        </w:rPr>
        <w:t>3)</w:t>
      </w:r>
      <w:r w:rsidRPr="00D21644">
        <w:rPr>
          <w:rFonts w:eastAsia="Calibri"/>
          <w:sz w:val="22"/>
          <w:szCs w:val="22"/>
        </w:rPr>
        <w:t xml:space="preserve"> La liberación de recursos que apoyan la liquidez del Gobierno por 170 millones de pesos al optimizar las cantidades que son utilizadas como Fondos de Reserva de las operaciones.</w:t>
      </w:r>
    </w:p>
    <w:p w:rsidR="00925917" w:rsidRPr="00D21644" w:rsidRDefault="00925917" w:rsidP="00925917">
      <w:pPr>
        <w:spacing w:before="0" w:after="0"/>
        <w:rPr>
          <w:rFonts w:eastAsia="Calibri"/>
          <w:sz w:val="22"/>
          <w:szCs w:val="22"/>
        </w:rPr>
      </w:pPr>
    </w:p>
    <w:p w:rsidR="00925917" w:rsidRPr="00D21644" w:rsidRDefault="00925917" w:rsidP="00925917">
      <w:pPr>
        <w:spacing w:before="0" w:after="0"/>
        <w:rPr>
          <w:rFonts w:eastAsia="Calibri"/>
          <w:sz w:val="22"/>
          <w:szCs w:val="22"/>
        </w:rPr>
      </w:pPr>
      <w:r w:rsidRPr="00D21644">
        <w:rPr>
          <w:rFonts w:eastAsia="Calibri"/>
          <w:b/>
          <w:sz w:val="22"/>
          <w:szCs w:val="22"/>
        </w:rPr>
        <w:t>4)</w:t>
      </w:r>
      <w:r w:rsidRPr="00D21644">
        <w:rPr>
          <w:rFonts w:eastAsia="Calibri"/>
          <w:sz w:val="22"/>
          <w:szCs w:val="22"/>
        </w:rPr>
        <w:t xml:space="preserve"> La simplificación de la administración y operación de la deuda al extinguir 3 de 4 Fideicomisos y la homologación de las condiciones </w:t>
      </w:r>
      <w:r w:rsidRPr="00D21644">
        <w:rPr>
          <w:rFonts w:eastAsia="Calibri"/>
          <w:sz w:val="22"/>
          <w:szCs w:val="22"/>
        </w:rPr>
        <w:lastRenderedPageBreak/>
        <w:t>de los Contratos de Crédito de acuerdo con lo que señala la Ley de Disciplina Financiera de las Entidades Federativas y los Municipios y la Legislación Estatal aplicable.</w:t>
      </w:r>
    </w:p>
    <w:p w:rsidR="00925917" w:rsidRPr="00D21644" w:rsidRDefault="00925917" w:rsidP="00925917">
      <w:pPr>
        <w:spacing w:before="0" w:after="0"/>
        <w:rPr>
          <w:rFonts w:eastAsia="Calibri"/>
          <w:sz w:val="22"/>
          <w:szCs w:val="22"/>
        </w:rPr>
      </w:pPr>
    </w:p>
    <w:p w:rsidR="00925917" w:rsidRPr="00D21644" w:rsidRDefault="00925917" w:rsidP="00925917">
      <w:pPr>
        <w:spacing w:before="0" w:after="0"/>
        <w:rPr>
          <w:rFonts w:eastAsia="Calibri"/>
          <w:sz w:val="22"/>
          <w:szCs w:val="22"/>
        </w:rPr>
      </w:pPr>
      <w:r w:rsidRPr="00D21644">
        <w:rPr>
          <w:rFonts w:eastAsia="Calibri"/>
          <w:sz w:val="22"/>
          <w:szCs w:val="22"/>
        </w:rPr>
        <w:t>Cabe destacar, que con este</w:t>
      </w:r>
      <w:r w:rsidRPr="00D21644">
        <w:rPr>
          <w:rFonts w:ascii="Calibri" w:eastAsia="Calibri" w:hAnsi="Calibri" w:cs="Calibri"/>
          <w:sz w:val="22"/>
          <w:szCs w:val="22"/>
        </w:rPr>
        <w:t> </w:t>
      </w:r>
      <w:r w:rsidRPr="00D21644">
        <w:rPr>
          <w:rFonts w:eastAsia="Calibri"/>
          <w:sz w:val="22"/>
          <w:szCs w:val="22"/>
        </w:rPr>
        <w:t>refinanciamiento</w:t>
      </w:r>
      <w:r w:rsidRPr="00D21644">
        <w:rPr>
          <w:rFonts w:ascii="Calibri" w:eastAsia="Calibri" w:hAnsi="Calibri" w:cs="Calibri"/>
          <w:sz w:val="22"/>
          <w:szCs w:val="22"/>
        </w:rPr>
        <w:t> </w:t>
      </w:r>
      <w:r w:rsidRPr="00D21644">
        <w:rPr>
          <w:rFonts w:eastAsia="Calibri"/>
          <w:sz w:val="22"/>
          <w:szCs w:val="22"/>
        </w:rPr>
        <w:t>la presente administración, en los próximo 5 años tendrá un ahorro por liberación de flujos estimados en el pago del servicio de la deuda por más de 2,700 millones de pesos, que serán destinados al saneamientos de las finanzas públicas estatales, que sin duda tendrán un impacto muy benéfico en el desarrollo del Estado y en el nivel de vida de sus habitantes.</w:t>
      </w:r>
    </w:p>
    <w:p w:rsidR="00925917" w:rsidRPr="00D21644" w:rsidRDefault="00925917" w:rsidP="00925917">
      <w:pPr>
        <w:spacing w:before="0" w:after="0"/>
        <w:rPr>
          <w:rFonts w:eastAsia="Calibri"/>
          <w:sz w:val="22"/>
          <w:szCs w:val="22"/>
        </w:rPr>
      </w:pPr>
    </w:p>
    <w:p w:rsidR="00925917" w:rsidRPr="00D21644" w:rsidRDefault="00925917" w:rsidP="00925917">
      <w:pPr>
        <w:spacing w:before="0" w:after="0"/>
        <w:rPr>
          <w:rFonts w:eastAsia="Calibri"/>
          <w:sz w:val="22"/>
          <w:szCs w:val="22"/>
        </w:rPr>
      </w:pPr>
      <w:r w:rsidRPr="00D21644">
        <w:rPr>
          <w:rFonts w:eastAsia="Calibri"/>
          <w:sz w:val="22"/>
          <w:szCs w:val="22"/>
        </w:rPr>
        <w:t>Esta nueva estructura de pagos tiene un diseño responsable, que beneficia a administraciones futuras y que, además, permite llevar a cabo de forma eficiente nuevos Refinanciamientos de acuerdo con lo que mejor convenga a las finanzas públicas en lo subsecuente.</w:t>
      </w:r>
    </w:p>
    <w:p w:rsidR="00925917" w:rsidRPr="00D21644"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r w:rsidRPr="00D21644">
        <w:rPr>
          <w:rFonts w:eastAsia="Calibri"/>
          <w:sz w:val="22"/>
          <w:szCs w:val="22"/>
        </w:rPr>
        <w:t>Finalmente</w:t>
      </w:r>
      <w:r>
        <w:rPr>
          <w:rFonts w:eastAsia="Calibri"/>
          <w:sz w:val="22"/>
          <w:szCs w:val="22"/>
        </w:rPr>
        <w:t>, señalar que el</w:t>
      </w:r>
      <w:r w:rsidRPr="002A6F57">
        <w:rPr>
          <w:rFonts w:eastAsia="Calibri"/>
          <w:sz w:val="22"/>
          <w:szCs w:val="22"/>
        </w:rPr>
        <w:t xml:space="preserve"> día 28 de julio de 2023, se dispuso la cantidad de $567´154,855.00 (quinientos sesenta y siete millones ciento cincuenta y cuatro mil ochocientos cincuenta y cinco pesos 00/100 M.N.). </w:t>
      </w:r>
      <w:r>
        <w:rPr>
          <w:rFonts w:eastAsia="Calibri"/>
          <w:sz w:val="22"/>
          <w:szCs w:val="22"/>
        </w:rPr>
        <w:t xml:space="preserve">El </w:t>
      </w:r>
      <w:r w:rsidRPr="002A6F57">
        <w:rPr>
          <w:rFonts w:eastAsia="Calibri"/>
          <w:sz w:val="22"/>
          <w:szCs w:val="22"/>
        </w:rPr>
        <w:t xml:space="preserve">total de </w:t>
      </w:r>
      <w:r>
        <w:rPr>
          <w:rFonts w:eastAsia="Calibri"/>
          <w:sz w:val="22"/>
          <w:szCs w:val="22"/>
        </w:rPr>
        <w:t>este n</w:t>
      </w:r>
      <w:r w:rsidRPr="002A6F57">
        <w:rPr>
          <w:rFonts w:eastAsia="Calibri"/>
          <w:sz w:val="22"/>
          <w:szCs w:val="22"/>
        </w:rPr>
        <w:t xml:space="preserve">uevo Financiamiento fue dispuesto para refinanciar el Crédito </w:t>
      </w:r>
      <w:r>
        <w:rPr>
          <w:rFonts w:eastAsia="Calibri"/>
          <w:sz w:val="22"/>
          <w:szCs w:val="22"/>
        </w:rPr>
        <w:t xml:space="preserve">BANOBRAS </w:t>
      </w:r>
      <w:proofErr w:type="spellStart"/>
      <w:r w:rsidRPr="002A6F57">
        <w:rPr>
          <w:rFonts w:eastAsia="Calibri"/>
          <w:sz w:val="22"/>
          <w:szCs w:val="22"/>
        </w:rPr>
        <w:t>Profise</w:t>
      </w:r>
      <w:proofErr w:type="spellEnd"/>
      <w:r>
        <w:rPr>
          <w:rFonts w:eastAsia="Calibri"/>
          <w:sz w:val="22"/>
          <w:szCs w:val="22"/>
        </w:rPr>
        <w:t xml:space="preserve"> de 2013</w:t>
      </w:r>
      <w:r w:rsidRPr="002A6F57">
        <w:rPr>
          <w:rFonts w:eastAsia="Calibri"/>
          <w:sz w:val="22"/>
          <w:szCs w:val="22"/>
        </w:rPr>
        <w:t>.</w:t>
      </w:r>
      <w:r>
        <w:t xml:space="preserve"> Con esto, </w:t>
      </w:r>
      <w:r>
        <w:rPr>
          <w:rFonts w:eastAsia="Calibri"/>
          <w:sz w:val="22"/>
          <w:szCs w:val="22"/>
        </w:rPr>
        <w:t>e</w:t>
      </w:r>
      <w:r w:rsidRPr="002A6F57">
        <w:rPr>
          <w:rFonts w:eastAsia="Calibri"/>
          <w:sz w:val="22"/>
          <w:szCs w:val="22"/>
        </w:rPr>
        <w:t>n total se dispusieron $19´175, 580,326.50 (diecinueve mil ciento setenta y cinco millones quinientos ochenta mil trescientos veintiséis pesos 50/100 M.N.)</w:t>
      </w:r>
      <w:r>
        <w:rPr>
          <w:rFonts w:eastAsia="Calibri"/>
          <w:sz w:val="22"/>
          <w:szCs w:val="22"/>
        </w:rPr>
        <w:t xml:space="preserve">, a través de disponer </w:t>
      </w:r>
      <w:r w:rsidRPr="002A6F57">
        <w:rPr>
          <w:rFonts w:eastAsia="Calibri"/>
          <w:sz w:val="22"/>
          <w:szCs w:val="22"/>
        </w:rPr>
        <w:t>8 Nuevos Financiamientos</w:t>
      </w:r>
      <w:r>
        <w:rPr>
          <w:rFonts w:eastAsia="Calibri"/>
          <w:sz w:val="22"/>
          <w:szCs w:val="22"/>
        </w:rPr>
        <w:t>, cuyo destino fue</w:t>
      </w:r>
      <w:r w:rsidRPr="002A6F57">
        <w:rPr>
          <w:rFonts w:eastAsia="Calibri"/>
          <w:sz w:val="22"/>
          <w:szCs w:val="22"/>
        </w:rPr>
        <w:t xml:space="preserve"> refinanciar 15 créditos anteriores.</w:t>
      </w: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rFonts w:eastAsia="Calibri"/>
          <w:sz w:val="22"/>
          <w:szCs w:val="22"/>
        </w:rPr>
      </w:pPr>
    </w:p>
    <w:p w:rsidR="00925917" w:rsidRDefault="00925917" w:rsidP="00925917">
      <w:pPr>
        <w:spacing w:before="0" w:after="0"/>
        <w:rPr>
          <w:color w:val="FF0000"/>
        </w:rPr>
      </w:pPr>
    </w:p>
    <w:p w:rsidR="00925917" w:rsidRDefault="00925917" w:rsidP="00925917">
      <w:pPr>
        <w:spacing w:before="0" w:after="0"/>
        <w:jc w:val="center"/>
        <w:rPr>
          <w:color w:val="FF0000"/>
        </w:rPr>
      </w:pPr>
    </w:p>
    <w:p w:rsidR="00925917" w:rsidRDefault="00925917" w:rsidP="00925917">
      <w:pPr>
        <w:spacing w:before="0" w:after="0"/>
        <w:jc w:val="center"/>
        <w:rPr>
          <w:color w:val="FF0000"/>
        </w:rPr>
      </w:pPr>
    </w:p>
    <w:p w:rsidR="00925917" w:rsidRDefault="00925917" w:rsidP="00925917">
      <w:pPr>
        <w:spacing w:before="0" w:after="0"/>
        <w:jc w:val="center"/>
        <w:rPr>
          <w:color w:val="FF0000"/>
        </w:rPr>
      </w:pPr>
    </w:p>
    <w:p w:rsidR="00925917" w:rsidRDefault="00925917" w:rsidP="00925917">
      <w:pPr>
        <w:spacing w:before="0" w:after="0"/>
        <w:jc w:val="center"/>
        <w:rPr>
          <w:color w:val="FF0000"/>
        </w:rPr>
      </w:pPr>
    </w:p>
    <w:p w:rsidR="00925917" w:rsidRDefault="00925917" w:rsidP="00925917">
      <w:pPr>
        <w:rPr>
          <w:color w:val="833C0B" w:themeColor="accent2" w:themeShade="80"/>
        </w:rPr>
      </w:pPr>
    </w:p>
    <w:p w:rsidR="00925917" w:rsidRDefault="00925917" w:rsidP="00925917">
      <w:pPr>
        <w:rPr>
          <w:color w:val="833C0B" w:themeColor="accent2" w:themeShade="80"/>
        </w:rPr>
      </w:pPr>
    </w:p>
    <w:p w:rsidR="00925917" w:rsidRPr="004F2D98" w:rsidRDefault="00925917" w:rsidP="00925917">
      <w:pPr>
        <w:rPr>
          <w:color w:val="833C0B" w:themeColor="accent2" w:themeShade="80"/>
        </w:rPr>
      </w:pPr>
    </w:p>
    <w:p w:rsidR="00231ECA" w:rsidRDefault="00925917" w:rsidP="00925917">
      <w:r w:rsidRPr="004F2D98">
        <w:rPr>
          <w:color w:val="833C0B" w:themeColor="accent2" w:themeShade="80"/>
        </w:rPr>
        <w:br w:type="page"/>
      </w:r>
    </w:p>
    <w:sectPr w:rsidR="00231ECA">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917" w:rsidRDefault="00925917" w:rsidP="00925917">
      <w:pPr>
        <w:spacing w:before="0" w:after="0" w:line="240" w:lineRule="auto"/>
      </w:pPr>
      <w:r>
        <w:separator/>
      </w:r>
    </w:p>
  </w:endnote>
  <w:endnote w:type="continuationSeparator" w:id="0">
    <w:p w:rsidR="00925917" w:rsidRDefault="00925917" w:rsidP="009259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lanoGrotesque-Bold">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GalanoGrotesque-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17" w:rsidRDefault="00925917">
    <w:pPr>
      <w:pStyle w:val="Piedepgina"/>
    </w:pPr>
    <w:r>
      <w:rPr>
        <w:noProof/>
        <w:lang w:val="es-MX" w:eastAsia="es-MX"/>
      </w:rPr>
      <w:drawing>
        <wp:anchor distT="0" distB="0" distL="114300" distR="114300" simplePos="0" relativeHeight="251661312" behindDoc="1" locked="0" layoutInCell="1" allowOverlap="1" wp14:anchorId="04653C2A" wp14:editId="3AC1BE72">
          <wp:simplePos x="0" y="0"/>
          <wp:positionH relativeFrom="page">
            <wp:align>left</wp:align>
          </wp:positionH>
          <wp:positionV relativeFrom="paragraph">
            <wp:posOffset>47625</wp:posOffset>
          </wp:positionV>
          <wp:extent cx="7808540" cy="408305"/>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
                    <a:extLst>
                      <a:ext uri="{28A0092B-C50C-407E-A947-70E740481C1C}">
                        <a14:useLocalDpi xmlns:a14="http://schemas.microsoft.com/office/drawing/2010/main" val="0"/>
                      </a:ext>
                    </a:extLst>
                  </a:blip>
                  <a:stretch>
                    <a:fillRect/>
                  </a:stretch>
                </pic:blipFill>
                <pic:spPr>
                  <a:xfrm>
                    <a:off x="0" y="0"/>
                    <a:ext cx="7808540" cy="408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917" w:rsidRDefault="00925917" w:rsidP="00925917">
      <w:pPr>
        <w:spacing w:before="0" w:after="0" w:line="240" w:lineRule="auto"/>
      </w:pPr>
      <w:r>
        <w:separator/>
      </w:r>
    </w:p>
  </w:footnote>
  <w:footnote w:type="continuationSeparator" w:id="0">
    <w:p w:rsidR="00925917" w:rsidRDefault="00925917" w:rsidP="0092591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17" w:rsidRDefault="00925917">
    <w:pPr>
      <w:pStyle w:val="Encabezado"/>
    </w:pPr>
    <w:r>
      <w:rPr>
        <w:noProof/>
        <w:lang w:val="es-MX" w:eastAsia="es-MX"/>
      </w:rPr>
      <w:drawing>
        <wp:anchor distT="0" distB="0" distL="114300" distR="114300" simplePos="0" relativeHeight="251659264" behindDoc="1" locked="0" layoutInCell="1" allowOverlap="1" wp14:anchorId="17A2EB1C" wp14:editId="60224B17">
          <wp:simplePos x="0" y="0"/>
          <wp:positionH relativeFrom="page">
            <wp:posOffset>480060</wp:posOffset>
          </wp:positionH>
          <wp:positionV relativeFrom="paragraph">
            <wp:posOffset>-48260</wp:posOffset>
          </wp:positionV>
          <wp:extent cx="6713163" cy="491303"/>
          <wp:effectExtent l="0" t="0" r="0" b="444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3163" cy="4913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3D6"/>
    <w:multiLevelType w:val="hybridMultilevel"/>
    <w:tmpl w:val="A1C6A578"/>
    <w:lvl w:ilvl="0" w:tplc="95625574">
      <w:start w:val="1"/>
      <w:numFmt w:val="lowerLetter"/>
      <w:lvlText w:val="%1)"/>
      <w:lvlJc w:val="left"/>
      <w:pPr>
        <w:ind w:left="785" w:hanging="360"/>
      </w:pPr>
      <w:rPr>
        <w:rFonts w:hint="default"/>
      </w:r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074643C2"/>
    <w:multiLevelType w:val="multilevel"/>
    <w:tmpl w:val="0C0A0025"/>
    <w:numStyleLink w:val="CtaPub"/>
  </w:abstractNum>
  <w:abstractNum w:abstractNumId="2" w15:restartNumberingAfterBreak="0">
    <w:nsid w:val="0C427977"/>
    <w:multiLevelType w:val="hybridMultilevel"/>
    <w:tmpl w:val="05225CE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0105A"/>
    <w:multiLevelType w:val="hybridMultilevel"/>
    <w:tmpl w:val="162018A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94F3B"/>
    <w:multiLevelType w:val="hybridMultilevel"/>
    <w:tmpl w:val="20D29FE2"/>
    <w:lvl w:ilvl="0" w:tplc="2F9E4E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E637B7"/>
    <w:multiLevelType w:val="hybridMultilevel"/>
    <w:tmpl w:val="20D29F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242C09"/>
    <w:multiLevelType w:val="multilevel"/>
    <w:tmpl w:val="0C0A0025"/>
    <w:styleLink w:val="CtaPub"/>
    <w:lvl w:ilvl="0">
      <w:start w:val="1"/>
      <w:numFmt w:val="upperRoman"/>
      <w:lvlText w:val="%1"/>
      <w:lvlJc w:val="left"/>
      <w:pPr>
        <w:ind w:left="432" w:hanging="432"/>
      </w:pPr>
      <w:rPr>
        <w:rFonts w:ascii="GalanoGrotesque-Bold" w:hAnsi="GalanoGrotesque-Bold"/>
        <w:b/>
        <w:color w:val="auto"/>
        <w:sz w:val="40"/>
      </w:rPr>
    </w:lvl>
    <w:lvl w:ilvl="1">
      <w:start w:val="1"/>
      <w:numFmt w:val="decimal"/>
      <w:lvlText w:val="%1.%2"/>
      <w:lvlJc w:val="left"/>
      <w:pPr>
        <w:ind w:left="576" w:hanging="576"/>
      </w:pPr>
      <w:rPr>
        <w:rFonts w:ascii="GalanoGrotesque-Bold" w:hAnsi="GalanoGrotesque-Bold"/>
        <w:b/>
        <w:color w:val="auto"/>
        <w:sz w:val="32"/>
      </w:rPr>
    </w:lvl>
    <w:lvl w:ilvl="2">
      <w:start w:val="1"/>
      <w:numFmt w:val="lowerLetter"/>
      <w:lvlText w:val="%1.%2.%3"/>
      <w:lvlJc w:val="left"/>
      <w:pPr>
        <w:ind w:left="720" w:hanging="720"/>
      </w:pPr>
      <w:rPr>
        <w:rFonts w:ascii="GalanoGrotesque-Bold" w:hAnsi="GalanoGrotesque-Bold"/>
        <w:b/>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start w:val="1"/>
        <w:numFmt w:val="decimal"/>
        <w:lvlText w:val=""/>
        <w:lvlJc w:val="left"/>
        <w:pPr>
          <w:ind w:left="0" w:firstLine="0"/>
        </w:pPr>
        <w:rPr>
          <w:rFonts w:ascii="GalanoGrotesque-Bold" w:hAnsi="GalanoGrotesque-Bold"/>
          <w:b/>
          <w:color w:val="auto"/>
          <w:sz w:val="40"/>
        </w:rPr>
      </w:lvl>
    </w:lvlOverride>
    <w:lvlOverride w:ilvl="1">
      <w:lvl w:ilvl="1">
        <w:start w:val="1"/>
        <w:numFmt w:val="decimal"/>
        <w:lvlText w:val=""/>
        <w:lvlJc w:val="left"/>
        <w:pPr>
          <w:ind w:left="0" w:firstLine="0"/>
        </w:pPr>
        <w:rPr>
          <w:rFonts w:ascii="GalanoGrotesque-Bold" w:hAnsi="GalanoGrotesque-Bold"/>
          <w:b/>
          <w:color w:val="auto"/>
          <w:sz w:val="32"/>
        </w:rPr>
      </w:lvl>
    </w:lvlOverride>
    <w:lvlOverride w:ilvl="2">
      <w:lvl w:ilvl="2">
        <w:start w:val="1"/>
        <w:numFmt w:val="decimal"/>
        <w:lvlText w:val="%1.%2.%3"/>
        <w:lvlJc w:val="left"/>
        <w:pPr>
          <w:ind w:left="862" w:hanging="720"/>
        </w:pPr>
        <w:rPr>
          <w:rFonts w:ascii="GalanoGrotesque-Bold" w:hAnsi="GalanoGrotesque-Bold"/>
          <w:b/>
          <w:sz w:val="36"/>
        </w:r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17"/>
    <w:rsid w:val="00231ECA"/>
    <w:rsid w:val="009259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97067-F14C-43E8-9DB7-EFB2F639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917"/>
    <w:pPr>
      <w:spacing w:before="60" w:after="60" w:line="360" w:lineRule="auto"/>
      <w:jc w:val="both"/>
    </w:pPr>
    <w:rPr>
      <w:rFonts w:ascii="GalanoGrotesque-Light" w:hAnsi="GalanoGrotesque-Light"/>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taPub">
    <w:name w:val="CtaPub"/>
    <w:uiPriority w:val="99"/>
    <w:rsid w:val="00925917"/>
    <w:pPr>
      <w:numPr>
        <w:numId w:val="1"/>
      </w:numPr>
    </w:pPr>
  </w:style>
  <w:style w:type="character" w:styleId="Hipervnculo">
    <w:name w:val="Hyperlink"/>
    <w:basedOn w:val="Fuentedeprrafopredeter"/>
    <w:uiPriority w:val="99"/>
    <w:unhideWhenUsed/>
    <w:rsid w:val="00925917"/>
    <w:rPr>
      <w:color w:val="0563C1" w:themeColor="hyperlink"/>
      <w:u w:val="single"/>
    </w:rPr>
  </w:style>
  <w:style w:type="paragraph" w:styleId="Prrafodelista">
    <w:name w:val="List Paragraph"/>
    <w:basedOn w:val="Normal"/>
    <w:link w:val="PrrafodelistaCar"/>
    <w:uiPriority w:val="34"/>
    <w:qFormat/>
    <w:rsid w:val="00925917"/>
    <w:pPr>
      <w:widowControl w:val="0"/>
      <w:kinsoku w:val="0"/>
      <w:spacing w:before="0" w:after="0" w:line="240" w:lineRule="auto"/>
      <w:ind w:left="720"/>
      <w:contextualSpacing/>
      <w:jc w:val="left"/>
    </w:pPr>
    <w:rPr>
      <w:rFonts w:ascii="Times New Roman" w:eastAsia="Times New Roman" w:hAnsi="Times New Roman" w:cs="Times New Roman"/>
      <w:lang w:val="en-US" w:eastAsia="es-MX"/>
    </w:rPr>
  </w:style>
  <w:style w:type="table" w:styleId="Tablaconcuadrcula">
    <w:name w:val="Table Grid"/>
    <w:basedOn w:val="Tablanormal"/>
    <w:uiPriority w:val="39"/>
    <w:rsid w:val="0092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925917"/>
    <w:rPr>
      <w:rFonts w:ascii="Times New Roman" w:eastAsia="Times New Roman" w:hAnsi="Times New Roman" w:cs="Times New Roman"/>
      <w:sz w:val="24"/>
      <w:szCs w:val="24"/>
      <w:lang w:val="en-US" w:eastAsia="es-MX"/>
    </w:rPr>
  </w:style>
  <w:style w:type="paragraph" w:styleId="Encabezado">
    <w:name w:val="header"/>
    <w:basedOn w:val="Normal"/>
    <w:link w:val="EncabezadoCar"/>
    <w:uiPriority w:val="99"/>
    <w:unhideWhenUsed/>
    <w:rsid w:val="0092591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25917"/>
    <w:rPr>
      <w:rFonts w:ascii="GalanoGrotesque-Light" w:hAnsi="GalanoGrotesque-Light"/>
      <w:sz w:val="24"/>
      <w:szCs w:val="24"/>
      <w:lang w:val="es-ES"/>
    </w:rPr>
  </w:style>
  <w:style w:type="paragraph" w:styleId="Piedepgina">
    <w:name w:val="footer"/>
    <w:basedOn w:val="Normal"/>
    <w:link w:val="PiedepginaCar"/>
    <w:uiPriority w:val="99"/>
    <w:unhideWhenUsed/>
    <w:rsid w:val="0092591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25917"/>
    <w:rPr>
      <w:rFonts w:ascii="GalanoGrotesque-Light" w:hAnsi="GalanoGrotesque-Ligh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secfinanzas.michoacan.gob.mx/licitacionrefinanciamient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4395</Words>
  <Characters>24174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Suelem Janeth González Rodríguez</dc:creator>
  <cp:keywords/>
  <dc:description/>
  <cp:lastModifiedBy>Suelem Janeth González Rodríguez</cp:lastModifiedBy>
  <cp:revision>1</cp:revision>
  <dcterms:created xsi:type="dcterms:W3CDTF">2024-04-30T02:49:00Z</dcterms:created>
  <dcterms:modified xsi:type="dcterms:W3CDTF">2024-04-30T02:52:00Z</dcterms:modified>
</cp:coreProperties>
</file>